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Cooper Beth W</w:t>
              </w:r>
            </w:hyperlink>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CHESAPEAKE UTILITIES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CPK</w:t>
            </w: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4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1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4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bottom w:val="single" w:sz="8" w:color="EEEEEE"/>
            </w:tcBorders>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Executive VP &amp; CFO</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ENERGY LANE</w:t>
            </w:r>
          </w:p>
        </w:tc>
        <w:tc>
          <w:tcPr>
            <w:tcW w:w="1340" w:type="dxa"/>
            <w:vAlign w:val="bottom"/>
          </w:tcPr>
          <w:p>
            <w:pPr>
              <w:spacing w:after="0"/>
              <w:rPr>
                <w:sz w:val="10"/>
                <w:szCs w:val="10"/>
                <w:color w:val="auto"/>
              </w:rPr>
            </w:pPr>
          </w:p>
        </w:tc>
        <w:tc>
          <w:tcPr>
            <w:tcW w:w="15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02/24/2026</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6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40" w:type="dxa"/>
            <w:vAlign w:val="bottom"/>
            <w:tcBorders>
              <w:bottom w:val="single" w:sz="8" w:color="2C2C2C"/>
            </w:tcBorders>
            <w:gridSpan w:val="6"/>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gridSpan w:val="6"/>
          </w:tcPr>
          <w:p>
            <w:pPr>
              <w:ind w:left="160"/>
              <w:spacing w:after="0" w:line="187" w:lineRule="exact"/>
              <w:rPr>
                <w:sz w:val="20"/>
                <w:szCs w:val="20"/>
                <w:color w:val="auto"/>
              </w:rPr>
            </w:pPr>
            <w:r>
              <w:rPr>
                <w:rFonts w:ascii="Times New Roman" w:cs="Times New Roman" w:eastAsia="Times New Roman" w:hAnsi="Times New Roman"/>
                <w:sz w:val="17"/>
                <w:szCs w:val="17"/>
                <w:color w:val="0000FF"/>
              </w:rPr>
              <w:t>02/26/2026</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DOVER</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w w:val="96"/>
              </w:rPr>
              <w:t>DE</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19901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40" w:type="dxa"/>
            <w:vAlign w:val="bottom"/>
            <w:tcBorders>
              <w:bottom w:val="single" w:sz="8" w:color="2C2C2C"/>
            </w:tcBorders>
            <w:gridSpan w:val="6"/>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02/24/2026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3,480</w:t>
            </w:r>
            <w:r>
              <w:rPr>
                <w:rFonts w:ascii="Times New Roman" w:cs="Times New Roman" w:eastAsia="Times New Roman" w:hAnsi="Times New Roman"/>
                <w:sz w:val="22"/>
                <w:szCs w:val="22"/>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135.05</w:t>
            </w:r>
          </w:p>
        </w:tc>
        <w:tc>
          <w:tcPr>
            <w:tcW w:w="120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7"/>
                <w:szCs w:val="17"/>
                <w:color w:val="0000FF"/>
              </w:rPr>
              <w:t>95,110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337"/>
              <w:spacing w:after="0"/>
              <w:rPr>
                <w:sz w:val="20"/>
                <w:szCs w:val="20"/>
                <w:color w:val="auto"/>
              </w:rPr>
            </w:pPr>
            <w:r>
              <w:rPr>
                <w:rFonts w:ascii="Times New Roman" w:cs="Times New Roman" w:eastAsia="Times New Roman" w:hAnsi="Times New Roman"/>
                <w:sz w:val="17"/>
                <w:szCs w:val="17"/>
                <w:color w:val="0000FF"/>
              </w:rPr>
              <w:t>14,202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reported on February 26, 2026, 7,557 shares of common stock were earned pursuant to a performance share agreement in place with the reporting individual. Accordingly, 4,077 shares were issued to the reporting individual, 0 deferred stock units were granted and 3,480 shares of Chesapeake Utilities common stock were utilized to satisfy the tax liability associated with the incentive award (4,077 shares issued to the reporting individual + 0 deferred stock units + 3,480 shares to cover the tax liability = 7,557 total shares comprising the incentive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28,115 deferred stock units that will be settled on a one-for-one basis in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Beth W. Cooper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1790" TargetMode="External"/><Relationship Id="rId14" Type="http://schemas.openxmlformats.org/officeDocument/2006/relationships/hyperlink" Target="http://www.sec.gov/cgi-bin/browse-edgar?action=getcompany&amp;CIK=000001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2026-05-15T09:38:15Z</dcterms:created>
  <dcterms:modified xsi:type="dcterms:W3CDTF">2026-05-15T09:38:15Z</dcterms:modified>
</cp:coreProperties>
</file>