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ASHINGTON</w:t>
      </w:r>
      <w:r>
        <w:rPr>
          <w:rFonts w:ascii="Times New Roman" w:cs="Times New Roman" w:eastAsia="Times New Roman" w:hAnsi="Times New Roman"/>
          <w:sz w:val="18"/>
          <w:szCs w:val="18"/>
          <w:b w:val="1"/>
          <w:bCs w:val="1"/>
          <w:color w:val="auto"/>
        </w:rPr>
        <w:t>, D.C. 20549</w:t>
      </w:r>
    </w:p>
    <w:p>
      <w:pPr>
        <w:spacing w:after="0" w:line="39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27940</wp:posOffset>
            </wp:positionV>
            <wp:extent cx="1499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987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-220345</wp:posOffset>
            </wp:positionV>
            <wp:extent cx="1499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22" w:lineRule="exact"/>
        <w:rPr>
          <w:sz w:val="24"/>
          <w:szCs w:val="24"/>
          <w:color w:val="auto"/>
        </w:rPr>
      </w:pPr>
    </w:p>
    <w:p>
      <w:pPr>
        <w:ind w:left="680" w:right="80" w:hanging="654"/>
        <w:spacing w:after="0" w:line="233" w:lineRule="auto"/>
        <w:tabs>
          <w:tab w:leader="none" w:pos="680" w:val="left"/>
        </w:tabs>
        <w:numPr>
          <w:ilvl w:val="0"/>
          <w:numId w:val="1"/>
        </w:numPr>
        <w:rPr>
          <w:rFonts w:ascii="MS PGothic" w:cs="MS PGothic" w:eastAsia="MS PGothic" w:hAnsi="MS PGothic"/>
          <w:sz w:val="25"/>
          <w:szCs w:val="25"/>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right="60" w:hanging="654"/>
        <w:spacing w:after="0" w:line="233" w:lineRule="auto"/>
        <w:tabs>
          <w:tab w:leader="none" w:pos="680" w:val="left"/>
        </w:tabs>
        <w:numPr>
          <w:ilvl w:val="0"/>
          <w:numId w:val="2"/>
        </w:numPr>
        <w:rPr>
          <w:rFonts w:ascii="MS PGothic" w:cs="MS PGothic" w:eastAsia="MS PGothic" w:hAnsi="MS PGothic"/>
          <w:sz w:val="25"/>
          <w:szCs w:val="25"/>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34" w:lineRule="exact"/>
        <w:rPr>
          <w:sz w:val="24"/>
          <w:szCs w:val="24"/>
          <w:color w:val="auto"/>
        </w:rPr>
      </w:pPr>
    </w:p>
    <w:tbl>
      <w:tblPr>
        <w:tblLayout w:type="fixed"/>
        <w:tblInd w:w="338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r>
      <w:tr>
        <w:trPr>
          <w:trHeight w:val="399"/>
        </w:trPr>
        <w:tc>
          <w:tcPr>
            <w:tcW w:w="450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Commission File Number: 001-11590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1093470</wp:posOffset>
            </wp:positionH>
            <wp:positionV relativeFrom="paragraph">
              <wp:posOffset>213995</wp:posOffset>
            </wp:positionV>
            <wp:extent cx="4963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6316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w:t>
      </w:r>
      <w:r>
        <w:rPr>
          <w:rFonts w:ascii="Times New Roman" w:cs="Times New Roman" w:eastAsia="Times New Roman" w:hAnsi="Times New Roman"/>
          <w:sz w:val="28"/>
          <w:szCs w:val="28"/>
          <w:b w:val="1"/>
          <w:bCs w:val="1"/>
          <w:color w:val="auto"/>
        </w:rPr>
        <w:t>HESAPEAKE</w:t>
      </w:r>
      <w:r>
        <w:rPr>
          <w:rFonts w:ascii="Times New Roman" w:cs="Times New Roman" w:eastAsia="Times New Roman" w:hAnsi="Times New Roman"/>
          <w:sz w:val="32"/>
          <w:szCs w:val="32"/>
          <w:b w:val="1"/>
          <w:bCs w:val="1"/>
          <w:color w:val="auto"/>
        </w:rPr>
        <w:t xml:space="preserve"> U</w:t>
      </w:r>
      <w:r>
        <w:rPr>
          <w:rFonts w:ascii="Times New Roman" w:cs="Times New Roman" w:eastAsia="Times New Roman" w:hAnsi="Times New Roman"/>
          <w:sz w:val="28"/>
          <w:szCs w:val="28"/>
          <w:b w:val="1"/>
          <w:bCs w:val="1"/>
          <w:color w:val="auto"/>
        </w:rPr>
        <w:t>TILITIES</w:t>
      </w:r>
      <w:r>
        <w:rPr>
          <w:rFonts w:ascii="Times New Roman" w:cs="Times New Roman" w:eastAsia="Times New Roman" w:hAnsi="Times New Roman"/>
          <w:sz w:val="32"/>
          <w:szCs w:val="32"/>
          <w:b w:val="1"/>
          <w:bCs w:val="1"/>
          <w:color w:val="auto"/>
        </w:rPr>
        <w:t xml:space="preserve"> C</w:t>
      </w:r>
      <w:r>
        <w:rPr>
          <w:rFonts w:ascii="Times New Roman" w:cs="Times New Roman" w:eastAsia="Times New Roman" w:hAnsi="Times New Roman"/>
          <w:sz w:val="28"/>
          <w:szCs w:val="28"/>
          <w:b w:val="1"/>
          <w:bCs w:val="1"/>
          <w:color w:val="auto"/>
        </w:rPr>
        <w:t>ORPORATION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1093470</wp:posOffset>
            </wp:positionH>
            <wp:positionV relativeFrom="paragraph">
              <wp:posOffset>13335</wp:posOffset>
            </wp:positionV>
            <wp:extent cx="4963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54" w:lineRule="exact"/>
        <w:rPr>
          <w:sz w:val="24"/>
          <w:szCs w:val="24"/>
          <w:color w:val="auto"/>
        </w:rPr>
      </w:pPr>
    </w:p>
    <w:tbl>
      <w:tblPr>
        <w:tblLayout w:type="fixed"/>
        <w:tblInd w:w="1060" w:type="dxa"/>
        <w:tblCellMar>
          <w:top w:w="0" w:type="dxa"/>
          <w:left w:w="0" w:type="dxa"/>
          <w:bottom w:w="0" w:type="dxa"/>
          <w:right w:w="0" w:type="dxa"/>
        </w:tblCellMar>
      </w:tblPr>
      <w:tr>
        <w:trPr>
          <w:trHeight w:val="227"/>
        </w:trPr>
        <w:tc>
          <w:tcPr>
            <w:tcW w:w="840" w:type="dxa"/>
            <w:vAlign w:val="bottom"/>
          </w:tcPr>
          <w:p>
            <w:pPr>
              <w:spacing w:after="0"/>
              <w:rPr>
                <w:sz w:val="19"/>
                <w:szCs w:val="19"/>
                <w:color w:val="auto"/>
              </w:rPr>
            </w:pPr>
          </w:p>
        </w:tc>
        <w:tc>
          <w:tcPr>
            <w:tcW w:w="2000" w:type="dxa"/>
            <w:vAlign w:val="bottom"/>
            <w:gridSpan w:val="2"/>
          </w:tcPr>
          <w:p>
            <w:pPr>
              <w:jc w:val="center"/>
              <w:ind w:right="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60" w:type="dxa"/>
            <w:vAlign w:val="bottom"/>
          </w:tcPr>
          <w:p>
            <w:pPr>
              <w:jc w:val="center"/>
              <w:ind w:right="444"/>
              <w:spacing w:after="0"/>
              <w:rPr>
                <w:sz w:val="20"/>
                <w:szCs w:val="20"/>
                <w:color w:val="auto"/>
              </w:rPr>
            </w:pPr>
            <w:r>
              <w:rPr>
                <w:rFonts w:ascii="Times New Roman" w:cs="Times New Roman" w:eastAsia="Times New Roman" w:hAnsi="Times New Roman"/>
                <w:sz w:val="18"/>
                <w:szCs w:val="18"/>
                <w:b w:val="1"/>
                <w:bCs w:val="1"/>
                <w:color w:val="auto"/>
                <w:w w:val="98"/>
              </w:rPr>
              <w:t>51-0064146</w:t>
            </w:r>
          </w:p>
        </w:tc>
      </w:tr>
      <w:tr>
        <w:trPr>
          <w:trHeight w:val="149"/>
        </w:trPr>
        <w:tc>
          <w:tcPr>
            <w:tcW w:w="840" w:type="dxa"/>
            <w:vAlign w:val="bottom"/>
          </w:tcPr>
          <w:p>
            <w:pPr>
              <w:spacing w:after="0"/>
              <w:rPr>
                <w:sz w:val="12"/>
                <w:szCs w:val="12"/>
                <w:color w:val="auto"/>
              </w:rPr>
            </w:pPr>
          </w:p>
        </w:tc>
        <w:tc>
          <w:tcPr>
            <w:tcW w:w="2000" w:type="dxa"/>
            <w:vAlign w:val="bottom"/>
            <w:gridSpan w:val="2"/>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60" w:type="dxa"/>
            <w:vAlign w:val="bottom"/>
          </w:tcPr>
          <w:p>
            <w:pPr>
              <w:jc w:val="center"/>
              <w:ind w:right="42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gridSpan w:val="3"/>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60" w:type="dxa"/>
            <w:vAlign w:val="bottom"/>
          </w:tcPr>
          <w:p>
            <w:pPr>
              <w:jc w:val="center"/>
              <w:ind w:right="44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3"/>
        </w:trPr>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500 Energy Lane, Dover, Delaware 19901</w:t>
            </w:r>
          </w:p>
        </w:tc>
        <w:tc>
          <w:tcPr>
            <w:tcW w:w="2660" w:type="dxa"/>
            <w:vAlign w:val="bottom"/>
          </w:tcPr>
          <w:p>
            <w:pPr>
              <w:spacing w:after="0"/>
              <w:rPr>
                <w:sz w:val="24"/>
                <w:szCs w:val="24"/>
                <w:color w:val="auto"/>
              </w:rPr>
            </w:pPr>
          </w:p>
        </w:tc>
      </w:tr>
      <w:tr>
        <w:trPr>
          <w:trHeight w:val="190"/>
        </w:trPr>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100" w:type="dxa"/>
            <w:vAlign w:val="bottom"/>
            <w:gridSpan w:val="5"/>
          </w:tcPr>
          <w:p>
            <w:pPr>
              <w:jc w:val="center"/>
              <w:ind w:right="17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63"/>
        </w:trPr>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(302) 734-6799</w:t>
            </w:r>
          </w:p>
        </w:tc>
        <w:tc>
          <w:tcPr>
            <w:tcW w:w="2660" w:type="dxa"/>
            <w:vAlign w:val="bottom"/>
          </w:tcPr>
          <w:p>
            <w:pPr>
              <w:spacing w:after="0"/>
              <w:rPr>
                <w:sz w:val="24"/>
                <w:szCs w:val="24"/>
                <w:color w:val="auto"/>
              </w:rPr>
            </w:pPr>
          </w:p>
        </w:tc>
      </w:tr>
      <w:tr>
        <w:trPr>
          <w:trHeight w:val="190"/>
        </w:trPr>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660" w:type="dxa"/>
            <w:vAlign w:val="bottom"/>
          </w:tcPr>
          <w:p>
            <w:pPr>
              <w:spacing w:after="0"/>
              <w:rPr>
                <w:sz w:val="16"/>
                <w:szCs w:val="16"/>
                <w:color w:val="auto"/>
              </w:rPr>
            </w:pPr>
          </w:p>
        </w:tc>
      </w:tr>
      <w:tr>
        <w:trPr>
          <w:trHeight w:val="523"/>
        </w:trPr>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100" w:type="dxa"/>
            <w:vAlign w:val="bottom"/>
            <w:gridSpan w:val="5"/>
          </w:tcPr>
          <w:p>
            <w:pPr>
              <w:jc w:val="center"/>
              <w:ind w:right="1744"/>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364"/>
        </w:trPr>
        <w:tc>
          <w:tcPr>
            <w:tcW w:w="84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80" w:type="dxa"/>
            <w:vAlign w:val="bottom"/>
          </w:tcPr>
          <w:p>
            <w:pPr>
              <w:spacing w:after="0"/>
              <w:rPr>
                <w:sz w:val="24"/>
                <w:szCs w:val="24"/>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3"/>
        </w:trPr>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 par value per share $0.4867</w:t>
            </w:r>
          </w:p>
        </w:tc>
        <w:tc>
          <w:tcPr>
            <w:tcW w:w="1100" w:type="dxa"/>
            <w:vAlign w:val="bottom"/>
          </w:tcPr>
          <w:p>
            <w:pPr>
              <w:spacing w:after="0"/>
              <w:rPr>
                <w:sz w:val="18"/>
                <w:szCs w:val="18"/>
                <w:color w:val="auto"/>
              </w:rPr>
            </w:pPr>
          </w:p>
        </w:tc>
        <w:tc>
          <w:tcPr>
            <w:tcW w:w="2420" w:type="dxa"/>
            <w:vAlign w:val="bottom"/>
            <w:gridSpan w:val="2"/>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CPK</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 Inc.</w:t>
            </w:r>
          </w:p>
        </w:tc>
      </w:tr>
    </w:tbl>
    <w:p>
      <w:pPr>
        <w:spacing w:after="0" w:line="167"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ind w:right="3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234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Accelerated filer</w:t>
            </w:r>
          </w:p>
        </w:tc>
        <w:tc>
          <w:tcPr>
            <w:tcW w:w="172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r>
      <w:tr>
        <w:trPr>
          <w:trHeight w:val="392"/>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2340" w:type="dxa"/>
            <w:vAlign w:val="bottom"/>
          </w:tcPr>
          <w:p>
            <w:pPr>
              <w:ind w:left="130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2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r>
      <w:tr>
        <w:trPr>
          <w:trHeight w:val="391"/>
        </w:trPr>
        <w:tc>
          <w:tcPr>
            <w:tcW w:w="29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2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2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r>
      <w:tr>
        <w:trPr>
          <w:trHeight w:val="1491"/>
        </w:trPr>
        <w:tc>
          <w:tcPr>
            <w:tcW w:w="29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39" w:lineRule="exact"/>
        <w:rPr>
          <w:sz w:val="20"/>
          <w:szCs w:val="20"/>
          <w:color w:val="auto"/>
        </w:rPr>
      </w:pPr>
    </w:p>
    <w:p>
      <w:pPr>
        <w:ind w:left="2440" w:right="1560" w:hanging="2434"/>
        <w:spacing w:after="0" w:line="272"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 xml:space="preserve"> </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Common Stock, par value $0.4867 — 24,004.761 shares outstanding as of May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4"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14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0000FF"/>
              </w:rPr>
              <w:t>Table of Contents</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3"/>
        </w:trPr>
        <w:tc>
          <w:tcPr>
            <w:tcW w:w="2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8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20" w:type="dxa"/>
            <w:vAlign w:val="bottom"/>
          </w:tcPr>
          <w:p>
            <w:pPr>
              <w:spacing w:after="0"/>
              <w:rPr>
                <w:sz w:val="24"/>
                <w:szCs w:val="24"/>
                <w:color w:val="auto"/>
              </w:rPr>
            </w:pPr>
          </w:p>
        </w:tc>
        <w:tc>
          <w:tcPr>
            <w:tcW w:w="110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PART I—FINANCIAL INFORMATION</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44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4"/>
                <w:szCs w:val="14"/>
                <w:i w:val="1"/>
                <w:iCs w:val="1"/>
                <w:color w:val="auto"/>
              </w:rPr>
              <w:t>TEM</w:t>
            </w:r>
            <w:r>
              <w:rPr>
                <w:rFonts w:ascii="Times New Roman" w:cs="Times New Roman" w:eastAsia="Times New Roman" w:hAnsi="Times New Roman"/>
                <w:sz w:val="18"/>
                <w:szCs w:val="18"/>
                <w:i w:val="1"/>
                <w:iCs w:val="1"/>
                <w:color w:val="auto"/>
              </w:rPr>
              <w:t xml:space="preserve"> 1.</w:t>
            </w:r>
          </w:p>
        </w:tc>
        <w:tc>
          <w:tcPr>
            <w:tcW w:w="20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i w:val="1"/>
                <w:iCs w:val="1"/>
                <w:color w:val="0000FF"/>
                <w:w w:val="98"/>
              </w:rPr>
              <w:t>FINANCIAL STATEMENTS</w:t>
            </w:r>
          </w:p>
        </w:tc>
        <w:tc>
          <w:tcPr>
            <w:tcW w:w="754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44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4"/>
                <w:szCs w:val="14"/>
                <w:i w:val="1"/>
                <w:iCs w:val="1"/>
                <w:color w:val="auto"/>
              </w:rPr>
              <w:t>TEM</w:t>
            </w:r>
            <w:r>
              <w:rPr>
                <w:rFonts w:ascii="Times New Roman" w:cs="Times New Roman" w:eastAsia="Times New Roman" w:hAnsi="Times New Roman"/>
                <w:sz w:val="18"/>
                <w:szCs w:val="18"/>
                <w:i w:val="1"/>
                <w:iCs w:val="1"/>
                <w:color w:val="auto"/>
              </w:rPr>
              <w:t xml:space="preserve"> 2.</w:t>
            </w:r>
          </w:p>
        </w:tc>
        <w:tc>
          <w:tcPr>
            <w:tcW w:w="9560" w:type="dxa"/>
            <w:vAlign w:val="bottom"/>
            <w:gridSpan w:val="12"/>
          </w:tcPr>
          <w:p>
            <w:pPr>
              <w:spacing w:after="0"/>
              <w:rPr>
                <w:sz w:val="20"/>
                <w:szCs w:val="20"/>
                <w:color w:val="auto"/>
              </w:rPr>
            </w:pPr>
            <w:r>
              <w:rPr>
                <w:rFonts w:ascii="Times New Roman" w:cs="Times New Roman" w:eastAsia="Times New Roman" w:hAnsi="Times New Roman"/>
                <w:sz w:val="18"/>
                <w:szCs w:val="18"/>
                <w:i w:val="1"/>
                <w:iCs w:val="1"/>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44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4"/>
                <w:szCs w:val="14"/>
                <w:i w:val="1"/>
                <w:iCs w:val="1"/>
                <w:color w:val="auto"/>
              </w:rPr>
              <w:t>TEM</w:t>
            </w:r>
            <w:r>
              <w:rPr>
                <w:rFonts w:ascii="Times New Roman" w:cs="Times New Roman" w:eastAsia="Times New Roman" w:hAnsi="Times New Roman"/>
                <w:sz w:val="18"/>
                <w:szCs w:val="18"/>
                <w:i w:val="1"/>
                <w:iCs w:val="1"/>
                <w:color w:val="auto"/>
              </w:rPr>
              <w:t xml:space="preserve"> 3.</w:t>
            </w:r>
          </w:p>
        </w:tc>
        <w:tc>
          <w:tcPr>
            <w:tcW w:w="84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i w:val="1"/>
                <w:iCs w:val="1"/>
                <w:color w:val="0000FF"/>
              </w:rPr>
              <w:t>QUANTITATIVE AND QUALITATIVE DISCLOSURES ABOUT MARKET RISK</w:t>
            </w:r>
          </w:p>
        </w:tc>
        <w:tc>
          <w:tcPr>
            <w:tcW w:w="110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44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4"/>
                <w:szCs w:val="14"/>
                <w:i w:val="1"/>
                <w:iCs w:val="1"/>
                <w:color w:val="auto"/>
              </w:rPr>
              <w:t>TEM</w:t>
            </w:r>
            <w:r>
              <w:rPr>
                <w:rFonts w:ascii="Times New Roman" w:cs="Times New Roman" w:eastAsia="Times New Roman" w:hAnsi="Times New Roman"/>
                <w:sz w:val="18"/>
                <w:szCs w:val="18"/>
                <w:i w:val="1"/>
                <w:iCs w:val="1"/>
                <w:color w:val="auto"/>
              </w:rPr>
              <w:t xml:space="preserve"> 4.</w:t>
            </w:r>
          </w:p>
        </w:tc>
        <w:tc>
          <w:tcPr>
            <w:tcW w:w="25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i w:val="1"/>
                <w:iCs w:val="1"/>
                <w:color w:val="0000FF"/>
                <w:w w:val="99"/>
              </w:rPr>
              <w:t>CONTROLS AND PROCEDURES</w:t>
            </w:r>
          </w:p>
        </w:tc>
        <w:tc>
          <w:tcPr>
            <w:tcW w:w="3260" w:type="dxa"/>
            <w:vAlign w:val="bottom"/>
            <w:tcBorders>
              <w:top w:val="single" w:sz="8" w:color="0000FF"/>
            </w:tcBorders>
            <w:gridSpan w:val="2"/>
          </w:tcPr>
          <w:p>
            <w:pPr>
              <w:spacing w:after="0"/>
              <w:rPr>
                <w:sz w:val="24"/>
                <w:szCs w:val="24"/>
                <w:color w:val="auto"/>
              </w:rPr>
            </w:pPr>
          </w:p>
        </w:tc>
        <w:tc>
          <w:tcPr>
            <w:tcW w:w="3800" w:type="dxa"/>
            <w:vAlign w:val="bottom"/>
            <w:gridSpan w:val="3"/>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10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PART II—OTHER INFORMATION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44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4"/>
                <w:szCs w:val="14"/>
                <w:i w:val="1"/>
                <w:iCs w:val="1"/>
                <w:color w:val="auto"/>
              </w:rPr>
              <w:t>TEM</w:t>
            </w:r>
            <w:r>
              <w:rPr>
                <w:rFonts w:ascii="Times New Roman" w:cs="Times New Roman" w:eastAsia="Times New Roman" w:hAnsi="Times New Roman"/>
                <w:sz w:val="18"/>
                <w:szCs w:val="18"/>
                <w:i w:val="1"/>
                <w:iCs w:val="1"/>
                <w:color w:val="auto"/>
              </w:rPr>
              <w:t xml:space="preserve"> 1.</w:t>
            </w:r>
          </w:p>
        </w:tc>
        <w:tc>
          <w:tcPr>
            <w:tcW w:w="18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i w:val="1"/>
                <w:iCs w:val="1"/>
                <w:color w:val="0000FF"/>
                <w:w w:val="99"/>
              </w:rPr>
              <w:t>LEGAL PROCEEDINGS</w:t>
            </w:r>
          </w:p>
        </w:tc>
        <w:tc>
          <w:tcPr>
            <w:tcW w:w="7740" w:type="dxa"/>
            <w:vAlign w:val="bottom"/>
            <w:gridSpan w:val="7"/>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44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4"/>
                <w:szCs w:val="14"/>
                <w:i w:val="1"/>
                <w:iCs w:val="1"/>
                <w:color w:val="auto"/>
              </w:rPr>
              <w:t>TEM</w:t>
            </w:r>
            <w:r>
              <w:rPr>
                <w:rFonts w:ascii="Times New Roman" w:cs="Times New Roman" w:eastAsia="Times New Roman" w:hAnsi="Times New Roman"/>
                <w:sz w:val="18"/>
                <w:szCs w:val="18"/>
                <w:i w:val="1"/>
                <w:iCs w:val="1"/>
                <w:color w:val="auto"/>
              </w:rPr>
              <w:t xml:space="preserve"> 1</w:t>
            </w:r>
            <w:r>
              <w:rPr>
                <w:rFonts w:ascii="Times New Roman" w:cs="Times New Roman" w:eastAsia="Times New Roman" w:hAnsi="Times New Roman"/>
                <w:sz w:val="14"/>
                <w:szCs w:val="14"/>
                <w:i w:val="1"/>
                <w:iCs w:val="1"/>
                <w:color w:val="auto"/>
              </w:rPr>
              <w:t>A</w:t>
            </w:r>
            <w:r>
              <w:rPr>
                <w:rFonts w:ascii="Times New Roman" w:cs="Times New Roman" w:eastAsia="Times New Roman" w:hAnsi="Times New Roman"/>
                <w:sz w:val="18"/>
                <w:szCs w:val="18"/>
                <w:i w:val="1"/>
                <w:iCs w:val="1"/>
                <w:color w:val="auto"/>
              </w:rPr>
              <w:t>.</w:t>
            </w:r>
          </w:p>
        </w:tc>
        <w:tc>
          <w:tcPr>
            <w:tcW w:w="9560" w:type="dxa"/>
            <w:vAlign w:val="bottom"/>
            <w:gridSpan w:val="12"/>
          </w:tcPr>
          <w:p>
            <w:pPr>
              <w:spacing w:after="0"/>
              <w:rPr>
                <w:sz w:val="20"/>
                <w:szCs w:val="20"/>
                <w:color w:val="auto"/>
              </w:rPr>
            </w:pPr>
            <w:r>
              <w:rPr>
                <w:rFonts w:ascii="Times New Roman" w:cs="Times New Roman" w:eastAsia="Times New Roman" w:hAnsi="Times New Roman"/>
                <w:sz w:val="18"/>
                <w:szCs w:val="18"/>
                <w:i w:val="1"/>
                <w:iCs w:val="1"/>
                <w:color w:val="0000FF"/>
              </w:rPr>
              <w:t>RISK FACTORS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4"/>
                <w:szCs w:val="14"/>
                <w:i w:val="1"/>
                <w:iCs w:val="1"/>
                <w:color w:val="auto"/>
              </w:rPr>
              <w:t>TEM</w:t>
            </w:r>
            <w:r>
              <w:rPr>
                <w:rFonts w:ascii="Times New Roman" w:cs="Times New Roman" w:eastAsia="Times New Roman" w:hAnsi="Times New Roman"/>
                <w:sz w:val="18"/>
                <w:szCs w:val="18"/>
                <w:i w:val="1"/>
                <w:iCs w:val="1"/>
                <w:color w:val="auto"/>
              </w:rPr>
              <w:t xml:space="preserve"> 2.</w:t>
            </w:r>
          </w:p>
        </w:tc>
        <w:tc>
          <w:tcPr>
            <w:tcW w:w="7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440" w:type="dxa"/>
            <w:vAlign w:val="bottom"/>
            <w:gridSpan w:val="3"/>
            <w:vMerge w:val="continue"/>
          </w:tcPr>
          <w:p>
            <w:pPr>
              <w:spacing w:after="0"/>
              <w:rPr>
                <w:sz w:val="24"/>
                <w:szCs w:val="24"/>
                <w:color w:val="auto"/>
              </w:rPr>
            </w:pPr>
          </w:p>
        </w:tc>
        <w:tc>
          <w:tcPr>
            <w:tcW w:w="58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i w:val="1"/>
                <w:iCs w:val="1"/>
                <w:color w:val="0000FF"/>
                <w:w w:val="99"/>
              </w:rPr>
              <w:t>UNREGISTERED SALES OF EQUITY SECURITIES AND USE OF PROCEEDS</w:t>
            </w:r>
          </w:p>
        </w:tc>
        <w:tc>
          <w:tcPr>
            <w:tcW w:w="370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44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4"/>
                <w:szCs w:val="14"/>
                <w:i w:val="1"/>
                <w:iCs w:val="1"/>
                <w:color w:val="auto"/>
              </w:rPr>
              <w:t>TEM</w:t>
            </w:r>
            <w:r>
              <w:rPr>
                <w:rFonts w:ascii="Times New Roman" w:cs="Times New Roman" w:eastAsia="Times New Roman" w:hAnsi="Times New Roman"/>
                <w:sz w:val="18"/>
                <w:szCs w:val="18"/>
                <w:i w:val="1"/>
                <w:iCs w:val="1"/>
                <w:color w:val="auto"/>
              </w:rPr>
              <w:t xml:space="preserve"> 3.</w:t>
            </w:r>
          </w:p>
        </w:tc>
        <w:tc>
          <w:tcPr>
            <w:tcW w:w="30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i w:val="1"/>
                <w:iCs w:val="1"/>
                <w:color w:val="0000FF"/>
                <w:w w:val="98"/>
              </w:rPr>
              <w:t>DEFAULTS UPON SENIOR SECURITIES</w:t>
            </w:r>
          </w:p>
        </w:tc>
        <w:tc>
          <w:tcPr>
            <w:tcW w:w="6480" w:type="dxa"/>
            <w:vAlign w:val="bottom"/>
            <w:gridSpan w:val="4"/>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44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4"/>
                <w:szCs w:val="14"/>
                <w:i w:val="1"/>
                <w:iCs w:val="1"/>
                <w:color w:val="auto"/>
              </w:rPr>
              <w:t>TEM</w:t>
            </w:r>
            <w:r>
              <w:rPr>
                <w:rFonts w:ascii="Times New Roman" w:cs="Times New Roman" w:eastAsia="Times New Roman" w:hAnsi="Times New Roman"/>
                <w:sz w:val="18"/>
                <w:szCs w:val="18"/>
                <w:i w:val="1"/>
                <w:iCs w:val="1"/>
                <w:color w:val="auto"/>
              </w:rPr>
              <w:t xml:space="preserve"> 5.</w:t>
            </w:r>
          </w:p>
        </w:tc>
        <w:tc>
          <w:tcPr>
            <w:tcW w:w="18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i w:val="1"/>
                <w:iCs w:val="1"/>
                <w:color w:val="0000FF"/>
                <w:w w:val="98"/>
              </w:rPr>
              <w:t>OTHER INFORMATION</w:t>
            </w:r>
          </w:p>
        </w:tc>
        <w:tc>
          <w:tcPr>
            <w:tcW w:w="7740" w:type="dxa"/>
            <w:vAlign w:val="bottom"/>
            <w:gridSpan w:val="7"/>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44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4"/>
                <w:szCs w:val="14"/>
                <w:i w:val="1"/>
                <w:iCs w:val="1"/>
                <w:color w:val="auto"/>
              </w:rPr>
              <w:t>TEM</w:t>
            </w:r>
            <w:r>
              <w:rPr>
                <w:rFonts w:ascii="Times New Roman" w:cs="Times New Roman" w:eastAsia="Times New Roman" w:hAnsi="Times New Roman"/>
                <w:sz w:val="18"/>
                <w:szCs w:val="18"/>
                <w:i w:val="1"/>
                <w:iCs w:val="1"/>
                <w:color w:val="auto"/>
              </w:rPr>
              <w:t xml:space="preserve"> 6.</w:t>
            </w:r>
          </w:p>
        </w:tc>
        <w:tc>
          <w:tcPr>
            <w:tcW w:w="9560" w:type="dxa"/>
            <w:vAlign w:val="bottom"/>
            <w:gridSpan w:val="12"/>
          </w:tcPr>
          <w:p>
            <w:pPr>
              <w:spacing w:after="0"/>
              <w:rPr>
                <w:sz w:val="20"/>
                <w:szCs w:val="20"/>
                <w:color w:val="auto"/>
              </w:rPr>
            </w:pPr>
            <w:r>
              <w:rPr>
                <w:rFonts w:ascii="Times New Roman" w:cs="Times New Roman" w:eastAsia="Times New Roman" w:hAnsi="Times New Roman"/>
                <w:sz w:val="18"/>
                <w:szCs w:val="18"/>
                <w:i w:val="1"/>
                <w:iCs w:val="1"/>
                <w:color w:val="0000FF"/>
              </w:rPr>
              <w:t>EXHIBITS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7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53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LOSSARY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EFINITIONS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ASC: </w:t>
      </w:r>
      <w:r>
        <w:rPr>
          <w:rFonts w:ascii="Times New Roman" w:cs="Times New Roman" w:eastAsia="Times New Roman" w:hAnsi="Times New Roman"/>
          <w:sz w:val="18"/>
          <w:szCs w:val="18"/>
          <w:color w:val="auto"/>
        </w:rPr>
        <w:t>Accounting Standards Codification issued by the FASB</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Adjusted Gross Margin: </w:t>
      </w:r>
      <w:r>
        <w:rPr>
          <w:rFonts w:ascii="Times New Roman" w:cs="Times New Roman" w:eastAsia="Times New Roman" w:hAnsi="Times New Roman"/>
          <w:sz w:val="18"/>
          <w:szCs w:val="18"/>
          <w:color w:val="auto"/>
        </w:rPr>
        <w:t>A non-GAAP measure calculated by deducting the purchased cost of natural gas, propane and electricity and the cost of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spent on direct revenue-producing activities from operating revenues. The costs included in Adjusted Gross Margin exclude depreciation and amortization and certain costs presented in operations and maintenance expenses in accordance with regulatory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0C0C"/>
        </w:rPr>
        <w:t xml:space="preserve">Aspire Energy: </w:t>
      </w:r>
      <w:r>
        <w:rPr>
          <w:rFonts w:ascii="Times New Roman" w:cs="Times New Roman" w:eastAsia="Times New Roman" w:hAnsi="Times New Roman"/>
          <w:sz w:val="18"/>
          <w:szCs w:val="18"/>
          <w:color w:val="0C0C0C"/>
        </w:rPr>
        <w:t>Aspire Energy of Ohio, LLC, a wholly-owned subsidiary of Chesapeake Utilities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0C0C"/>
        </w:rPr>
        <w:t xml:space="preserve">Aspire Energy Express: </w:t>
      </w:r>
      <w:r>
        <w:rPr>
          <w:rFonts w:ascii="Times New Roman" w:cs="Times New Roman" w:eastAsia="Times New Roman" w:hAnsi="Times New Roman"/>
          <w:sz w:val="18"/>
          <w:szCs w:val="18"/>
          <w:color w:val="0C0C0C"/>
        </w:rPr>
        <w:t>Aspire Energy Express, LLC, a wholly-owned subsidiary of Chesapeake Utilities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ASU: </w:t>
      </w:r>
      <w:r>
        <w:rPr>
          <w:rFonts w:ascii="Times New Roman" w:cs="Times New Roman" w:eastAsia="Times New Roman" w:hAnsi="Times New Roman"/>
          <w:sz w:val="18"/>
          <w:szCs w:val="18"/>
          <w:color w:val="auto"/>
        </w:rPr>
        <w:t>Accounting Standards Update issued by the FASB</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ATM: </w:t>
      </w:r>
      <w:r>
        <w:rPr>
          <w:rFonts w:ascii="Times New Roman" w:cs="Times New Roman" w:eastAsia="Times New Roman" w:hAnsi="Times New Roman"/>
          <w:sz w:val="18"/>
          <w:szCs w:val="18"/>
          <w:color w:val="auto"/>
        </w:rPr>
        <w:t>At-the-market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BOD: </w:t>
      </w:r>
      <w:r>
        <w:rPr>
          <w:rFonts w:ascii="Times New Roman" w:cs="Times New Roman" w:eastAsia="Times New Roman" w:hAnsi="Times New Roman"/>
          <w:sz w:val="18"/>
          <w:szCs w:val="18"/>
          <w:color w:val="auto"/>
        </w:rPr>
        <w:t>Chesapeake Utilities Corporation's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CDD: </w:t>
      </w:r>
      <w:r>
        <w:rPr>
          <w:rFonts w:ascii="Times New Roman" w:cs="Times New Roman" w:eastAsia="Times New Roman" w:hAnsi="Times New Roman"/>
          <w:sz w:val="18"/>
          <w:szCs w:val="18"/>
          <w:color w:val="auto"/>
        </w:rPr>
        <w:t>Cooling degree-day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Chesapeake, Chesapeake Utilities or Company: </w:t>
      </w:r>
      <w:r>
        <w:rPr>
          <w:rFonts w:ascii="Times New Roman" w:cs="Times New Roman" w:eastAsia="Times New Roman" w:hAnsi="Times New Roman"/>
          <w:sz w:val="18"/>
          <w:szCs w:val="18"/>
          <w:color w:val="auto"/>
        </w:rPr>
        <w:t>Chesapeake Utilities Corporation, individually or collectively with its divisions and subsidiaries,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in the context of the disclosure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CHP: </w:t>
      </w:r>
      <w:r>
        <w:rPr>
          <w:rFonts w:ascii="Times New Roman" w:cs="Times New Roman" w:eastAsia="Times New Roman" w:hAnsi="Times New Roman"/>
          <w:sz w:val="18"/>
          <w:szCs w:val="18"/>
          <w:color w:val="auto"/>
        </w:rPr>
        <w:t>Combined Heat and Power Plant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CNG: </w:t>
      </w:r>
      <w:r>
        <w:rPr>
          <w:rFonts w:ascii="Times New Roman" w:cs="Times New Roman" w:eastAsia="Times New Roman" w:hAnsi="Times New Roman"/>
          <w:sz w:val="18"/>
          <w:szCs w:val="18"/>
          <w:color w:val="auto"/>
        </w:rPr>
        <w:t>Compressed natural gas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Degree-day: </w:t>
      </w:r>
      <w:r>
        <w:rPr>
          <w:rFonts w:ascii="Times New Roman" w:cs="Times New Roman" w:eastAsia="Times New Roman" w:hAnsi="Times New Roman"/>
          <w:sz w:val="18"/>
          <w:szCs w:val="18"/>
          <w:color w:val="auto"/>
        </w:rPr>
        <w:t>Measure of the variation in the weather based on the extent to which the average daily temperature reaches above (CDD) or below (HDD) 65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degrees Fahrenheit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Delmarva Peninsula: </w:t>
      </w:r>
      <w:r>
        <w:rPr>
          <w:rFonts w:ascii="Times New Roman" w:cs="Times New Roman" w:eastAsia="Times New Roman" w:hAnsi="Times New Roman"/>
          <w:sz w:val="18"/>
          <w:szCs w:val="18"/>
          <w:color w:val="auto"/>
        </w:rPr>
        <w:t>A peninsula on the east coast of the U.S. comprised of Delaware and portions of Maryland and Virginia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DRIP/DSPP: </w:t>
      </w:r>
      <w:r>
        <w:rPr>
          <w:rFonts w:ascii="Times New Roman" w:cs="Times New Roman" w:eastAsia="Times New Roman" w:hAnsi="Times New Roman"/>
          <w:sz w:val="18"/>
          <w:szCs w:val="18"/>
          <w:color w:val="auto"/>
        </w:rPr>
        <w:t>Dividend Reinvestment and Direct Stock Purchase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Dt(s): </w:t>
      </w:r>
      <w:r>
        <w:rPr>
          <w:rFonts w:ascii="Times New Roman" w:cs="Times New Roman" w:eastAsia="Times New Roman" w:hAnsi="Times New Roman"/>
          <w:sz w:val="18"/>
          <w:szCs w:val="18"/>
          <w:color w:val="auto"/>
        </w:rPr>
        <w:t>Dekatherm(s), which is a natural gas unit of measurement that includes a standard measure for heating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Dts/d: </w:t>
      </w:r>
      <w:r>
        <w:rPr>
          <w:rFonts w:ascii="Times New Roman" w:cs="Times New Roman" w:eastAsia="Times New Roman" w:hAnsi="Times New Roman"/>
          <w:sz w:val="18"/>
          <w:szCs w:val="18"/>
          <w:color w:val="auto"/>
        </w:rPr>
        <w:t>Dekatherms per day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Eastern Shore: </w:t>
      </w:r>
      <w:r>
        <w:rPr>
          <w:rFonts w:ascii="Times New Roman" w:cs="Times New Roman" w:eastAsia="Times New Roman" w:hAnsi="Times New Roman"/>
          <w:sz w:val="18"/>
          <w:szCs w:val="18"/>
          <w:color w:val="auto"/>
        </w:rPr>
        <w:t>Eastern Shore Natural Gas Company, a wholly-owned subsidiary of Chesapeake Utilities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Eight Flags: </w:t>
      </w:r>
      <w:r>
        <w:rPr>
          <w:rFonts w:ascii="Times New Roman" w:cs="Times New Roman" w:eastAsia="Times New Roman" w:hAnsi="Times New Roman"/>
          <w:sz w:val="18"/>
          <w:szCs w:val="18"/>
          <w:color w:val="auto"/>
        </w:rPr>
        <w:t>Eight Flags Energy, LLC, a wholly-owned subsidiary of Chesapeake Utilities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Elkton Gas</w:t>
      </w:r>
      <w:r>
        <w:rPr>
          <w:rFonts w:ascii="Times New Roman" w:cs="Times New Roman" w:eastAsia="Times New Roman" w:hAnsi="Times New Roman"/>
          <w:sz w:val="18"/>
          <w:szCs w:val="18"/>
          <w:color w:val="auto"/>
        </w:rPr>
        <w:t>: Elkton Gas Company, a wholly-owned subsidiary of Chesapeake Utilities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FASB: </w:t>
      </w:r>
      <w:r>
        <w:rPr>
          <w:rFonts w:ascii="Times New Roman" w:cs="Times New Roman" w:eastAsia="Times New Roman" w:hAnsi="Times New Roman"/>
          <w:sz w:val="18"/>
          <w:szCs w:val="18"/>
          <w:color w:val="auto"/>
        </w:rPr>
        <w:t>Financial Accounting Standards Board</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FCG or Florida City Gas</w:t>
      </w:r>
      <w:r>
        <w:rPr>
          <w:rFonts w:ascii="Times New Roman" w:cs="Times New Roman" w:eastAsia="Times New Roman" w:hAnsi="Times New Roman"/>
          <w:sz w:val="18"/>
          <w:szCs w:val="18"/>
          <w:color w:val="auto"/>
        </w:rPr>
        <w:t>: Pivotal Utility Holdings, Inc, doing business as Florida City Gas, a wholly-owned subsidiary of Chesapeake Utilities that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from Florida Power &amp; Light Company on November 30, 2023</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FERC: </w:t>
      </w:r>
      <w:r>
        <w:rPr>
          <w:rFonts w:ascii="Times New Roman" w:cs="Times New Roman" w:eastAsia="Times New Roman" w:hAnsi="Times New Roman"/>
          <w:sz w:val="18"/>
          <w:szCs w:val="18"/>
          <w:color w:val="auto"/>
        </w:rPr>
        <w:t>Federal Energy Regulatory Commission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FGT: </w:t>
      </w:r>
      <w:r>
        <w:rPr>
          <w:rFonts w:ascii="Times New Roman" w:cs="Times New Roman" w:eastAsia="Times New Roman" w:hAnsi="Times New Roman"/>
          <w:sz w:val="18"/>
          <w:szCs w:val="18"/>
          <w:color w:val="auto"/>
        </w:rPr>
        <w:t>Florida Gas Transmission Company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Florida Natural Gas: </w:t>
      </w:r>
      <w:r>
        <w:rPr>
          <w:rFonts w:ascii="Times New Roman" w:cs="Times New Roman" w:eastAsia="Times New Roman" w:hAnsi="Times New Roman"/>
          <w:sz w:val="18"/>
          <w:szCs w:val="18"/>
          <w:color w:val="auto"/>
        </w:rPr>
        <w:t>Refers to the Company's legacy Florida natural gas distribution operations (excluding FCG) that are consolidated under FPU,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both rate-making and operations purposes</w:t>
      </w:r>
    </w:p>
    <w:p>
      <w:pPr>
        <w:spacing w:after="0" w:line="1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Florida OPC: </w:t>
      </w:r>
      <w:r>
        <w:rPr>
          <w:rFonts w:ascii="Times New Roman" w:cs="Times New Roman" w:eastAsia="Times New Roman" w:hAnsi="Times New Roman"/>
          <w:sz w:val="18"/>
          <w:szCs w:val="18"/>
          <w:color w:val="auto"/>
        </w:rPr>
        <w:t>The Office of Public Counsel, an agency established by the Florida legislature who advocates on behalf of Florida's utility consumers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actions or rule changes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FPU: </w:t>
      </w:r>
      <w:r>
        <w:rPr>
          <w:rFonts w:ascii="Times New Roman" w:cs="Times New Roman" w:eastAsia="Times New Roman" w:hAnsi="Times New Roman"/>
          <w:sz w:val="18"/>
          <w:szCs w:val="18"/>
          <w:color w:val="auto"/>
        </w:rPr>
        <w:t>Florida Public Utilities Company, a wholly-owned subsidiary of Chesapeake Utilities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GAAP: </w:t>
      </w:r>
      <w:r>
        <w:rPr>
          <w:rFonts w:ascii="Times New Roman" w:cs="Times New Roman" w:eastAsia="Times New Roman" w:hAnsi="Times New Roman"/>
          <w:sz w:val="18"/>
          <w:szCs w:val="18"/>
          <w:color w:val="auto"/>
        </w:rPr>
        <w:t>Generally Accepted Accounting Principles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a term which is the excess of sales over costs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GUARD: </w:t>
      </w:r>
      <w:r>
        <w:rPr>
          <w:rFonts w:ascii="Times New Roman" w:cs="Times New Roman" w:eastAsia="Times New Roman" w:hAnsi="Times New Roman"/>
          <w:sz w:val="18"/>
          <w:szCs w:val="18"/>
          <w:color w:val="auto"/>
        </w:rPr>
        <w:t>Gas Utility Access and Replacement Directive, a PSC approved capital infrastructure program to enhance the safety, reliability and accessibility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portions of FPU’s natural gas distribution system in Florida</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Gulfstream: </w:t>
      </w:r>
      <w:r>
        <w:rPr>
          <w:rFonts w:ascii="Times New Roman" w:cs="Times New Roman" w:eastAsia="Times New Roman" w:hAnsi="Times New Roman"/>
          <w:sz w:val="18"/>
          <w:szCs w:val="18"/>
          <w:color w:val="auto"/>
        </w:rPr>
        <w:t>Gulfstream Natural Gas System, LLC, an unaffiliated pipeline network that supplies natural gas to FPU</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HDD: </w:t>
      </w:r>
      <w:r>
        <w:rPr>
          <w:rFonts w:ascii="Times New Roman" w:cs="Times New Roman" w:eastAsia="Times New Roman" w:hAnsi="Times New Roman"/>
          <w:sz w:val="18"/>
          <w:szCs w:val="18"/>
          <w:color w:val="auto"/>
        </w:rPr>
        <w:t>Heating degree-day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LNG: </w:t>
      </w:r>
      <w:r>
        <w:rPr>
          <w:rFonts w:ascii="Times New Roman" w:cs="Times New Roman" w:eastAsia="Times New Roman" w:hAnsi="Times New Roman"/>
          <w:sz w:val="18"/>
          <w:szCs w:val="18"/>
          <w:color w:val="auto"/>
        </w:rPr>
        <w:t>Liquefied natural gas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Marlin Gas Services: </w:t>
      </w:r>
      <w:r>
        <w:rPr>
          <w:rFonts w:ascii="Times New Roman" w:cs="Times New Roman" w:eastAsia="Times New Roman" w:hAnsi="Times New Roman"/>
          <w:sz w:val="18"/>
          <w:szCs w:val="18"/>
          <w:color w:val="auto"/>
        </w:rPr>
        <w:t>Marlin Gas Services, LLC, a wholly-owned subsidiary of Chesapeake Utilities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Maryland OPC: </w:t>
      </w:r>
      <w:r>
        <w:rPr>
          <w:rFonts w:ascii="Times New Roman" w:cs="Times New Roman" w:eastAsia="Times New Roman" w:hAnsi="Times New Roman"/>
          <w:sz w:val="18"/>
          <w:szCs w:val="18"/>
          <w:color w:val="auto"/>
        </w:rPr>
        <w:t>The Office of People’s Counsel, an agency established by the Maryland legislature who advocates on behalf of Maryland's utility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consumers prior to actions or rule changes</w:t>
      </w:r>
    </w:p>
    <w:p>
      <w:pPr>
        <w:spacing w:after="0" w:line="1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MetLife: </w:t>
      </w:r>
      <w:r>
        <w:rPr>
          <w:rFonts w:ascii="Times New Roman" w:cs="Times New Roman" w:eastAsia="Times New Roman" w:hAnsi="Times New Roman"/>
          <w:sz w:val="18"/>
          <w:szCs w:val="18"/>
          <w:color w:val="auto"/>
        </w:rPr>
        <w:t>MetLife Investment Advisors, an institutional debt investment management firm, with which we have previously issued Senior Notes and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party to the current MetLife Shelf Agreement, as amended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MGP: </w:t>
      </w:r>
      <w:r>
        <w:rPr>
          <w:rFonts w:ascii="Times New Roman" w:cs="Times New Roman" w:eastAsia="Times New Roman" w:hAnsi="Times New Roman"/>
          <w:sz w:val="18"/>
          <w:szCs w:val="18"/>
          <w:color w:val="auto"/>
        </w:rPr>
        <w:t>Manufactured gas plant, which is a site where coal was previously used to manufacture gaseous fuel for industrial, commercial and residential use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Peninsula Pipeline: </w:t>
      </w:r>
      <w:r>
        <w:rPr>
          <w:rFonts w:ascii="Times New Roman" w:cs="Times New Roman" w:eastAsia="Times New Roman" w:hAnsi="Times New Roman"/>
          <w:sz w:val="18"/>
          <w:szCs w:val="18"/>
          <w:color w:val="auto"/>
        </w:rPr>
        <w:t>Peninsula Pipeline Company, Inc., a wholly-owned subsidiary of Chesapeake Utilities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Prudential: </w:t>
      </w:r>
      <w:r>
        <w:rPr>
          <w:rFonts w:ascii="Times New Roman" w:cs="Times New Roman" w:eastAsia="Times New Roman" w:hAnsi="Times New Roman"/>
          <w:sz w:val="18"/>
          <w:szCs w:val="18"/>
          <w:color w:val="auto"/>
        </w:rPr>
        <w:t>Prudential Investment Management Inc., an institutional investment management firm, with which we have previously issued Senior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which is a party to the current Prudential Shelf Agreement, as amended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PSC: </w:t>
      </w:r>
      <w:r>
        <w:rPr>
          <w:rFonts w:ascii="Times New Roman" w:cs="Times New Roman" w:eastAsia="Times New Roman" w:hAnsi="Times New Roman"/>
          <w:sz w:val="18"/>
          <w:szCs w:val="18"/>
          <w:color w:val="auto"/>
        </w:rPr>
        <w:t>Public Service Commission, which is the state agency that regulates utility rates and/or services in certain of our jurisdictions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Revolver: </w:t>
      </w:r>
      <w:r>
        <w:rPr>
          <w:rFonts w:ascii="Times New Roman" w:cs="Times New Roman" w:eastAsia="Times New Roman" w:hAnsi="Times New Roman"/>
          <w:sz w:val="18"/>
          <w:szCs w:val="18"/>
          <w:color w:val="auto"/>
        </w:rPr>
        <w:t>Our $450.0 million unsecured revolving credit facility with certain lenders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RNG: </w:t>
      </w:r>
      <w:r>
        <w:rPr>
          <w:rFonts w:ascii="Times New Roman" w:cs="Times New Roman" w:eastAsia="Times New Roman" w:hAnsi="Times New Roman"/>
          <w:sz w:val="18"/>
          <w:szCs w:val="18"/>
          <w:color w:val="auto"/>
        </w:rPr>
        <w:t>Renewable natural gas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ROE: </w:t>
      </w:r>
      <w:r>
        <w:rPr>
          <w:rFonts w:ascii="Times New Roman" w:cs="Times New Roman" w:eastAsia="Times New Roman" w:hAnsi="Times New Roman"/>
          <w:sz w:val="18"/>
          <w:szCs w:val="18"/>
          <w:color w:val="auto"/>
        </w:rPr>
        <w:t>Return on equity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Sandpiper Energy: </w:t>
      </w:r>
      <w:r>
        <w:rPr>
          <w:rFonts w:ascii="Times New Roman" w:cs="Times New Roman" w:eastAsia="Times New Roman" w:hAnsi="Times New Roman"/>
          <w:sz w:val="18"/>
          <w:szCs w:val="18"/>
          <w:color w:val="auto"/>
        </w:rPr>
        <w:t>Sandpiper Energy, Inc., a wholly-owned subsidiary of Chesapeake Utilities</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SAFE: </w:t>
      </w:r>
      <w:r>
        <w:rPr>
          <w:rFonts w:ascii="Times New Roman" w:cs="Times New Roman" w:eastAsia="Times New Roman" w:hAnsi="Times New Roman"/>
          <w:sz w:val="18"/>
          <w:szCs w:val="18"/>
          <w:color w:val="auto"/>
        </w:rPr>
        <w:t>Safety, Access, and Facility Enhancement, a program to enhance the safety, reliability and accessibility of portions of FCG's natural gas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 </w:t>
      </w:r>
      <w:r>
        <w:rPr>
          <w:rFonts w:ascii="Times New Roman" w:cs="Times New Roman" w:eastAsia="Times New Roman" w:hAnsi="Times New Roman"/>
          <w:sz w:val="18"/>
          <w:szCs w:val="18"/>
          <w:color w:val="auto"/>
        </w:rPr>
        <w:t>Securities and Exchange Commission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Senior Notes or Uncollateralized Senior Notes: </w:t>
      </w:r>
      <w:r>
        <w:rPr>
          <w:rFonts w:ascii="Times New Roman" w:cs="Times New Roman" w:eastAsia="Times New Roman" w:hAnsi="Times New Roman"/>
          <w:sz w:val="18"/>
          <w:szCs w:val="18"/>
          <w:color w:val="auto"/>
        </w:rPr>
        <w:t>Our unsecured long-term debt issued primarily to insurance companies on various dates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Sharp: </w:t>
      </w:r>
      <w:r>
        <w:rPr>
          <w:rFonts w:ascii="Times New Roman" w:cs="Times New Roman" w:eastAsia="Times New Roman" w:hAnsi="Times New Roman"/>
          <w:sz w:val="18"/>
          <w:szCs w:val="18"/>
          <w:color w:val="auto"/>
        </w:rPr>
        <w:t>Sharp Energy, Inc., a wholly-owned subsidiary of Chesapeake Utilities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Shelf Agreement: </w:t>
      </w:r>
      <w:r>
        <w:rPr>
          <w:rFonts w:ascii="Times New Roman" w:cs="Times New Roman" w:eastAsia="Times New Roman" w:hAnsi="Times New Roman"/>
          <w:sz w:val="18"/>
          <w:szCs w:val="18"/>
          <w:color w:val="auto"/>
        </w:rPr>
        <w:t>An agreement entered into by Chesapeake Utilities and a counterparty pursuant to which Chesapeake Utilities may request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counterparty purchase our unsecured senior debt with a fixed interest rate and a maturity date not to exceed 20 years from the date of issuance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SICP: </w:t>
      </w:r>
      <w:r>
        <w:rPr>
          <w:rFonts w:ascii="Times New Roman" w:cs="Times New Roman" w:eastAsia="Times New Roman" w:hAnsi="Times New Roman"/>
          <w:sz w:val="18"/>
          <w:szCs w:val="18"/>
          <w:color w:val="auto"/>
        </w:rPr>
        <w:t>Stock and Incentive Compensation Plan pursuant to which we grant stock-based compensation awards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SOFR: </w:t>
      </w:r>
      <w:r>
        <w:rPr>
          <w:rFonts w:ascii="Times New Roman" w:cs="Times New Roman" w:eastAsia="Times New Roman" w:hAnsi="Times New Roman"/>
          <w:sz w:val="18"/>
          <w:szCs w:val="18"/>
          <w:color w:val="auto"/>
        </w:rPr>
        <w:t>Secured Overnight Financing Rate, a secured interbank overnight interest rate established as an alternative to LIBOR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TCJA: </w:t>
      </w:r>
      <w:r>
        <w:rPr>
          <w:rFonts w:ascii="Times New Roman" w:cs="Times New Roman" w:eastAsia="Times New Roman" w:hAnsi="Times New Roman"/>
          <w:sz w:val="18"/>
          <w:szCs w:val="18"/>
          <w:color w:val="auto"/>
        </w:rPr>
        <w:t>Tax Cuts and Jobs Act enacted on December 22, 2017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U.S.: </w:t>
      </w:r>
      <w:r>
        <w:rPr>
          <w:rFonts w:ascii="Times New Roman" w:cs="Times New Roman" w:eastAsia="Times New Roman" w:hAnsi="Times New Roman"/>
          <w:sz w:val="18"/>
          <w:szCs w:val="18"/>
          <w:color w:val="auto"/>
        </w:rPr>
        <w:t>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8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8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Chesapeake Utilities Corporation and Subsidiaries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8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8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shares (thousands) and per share data)</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59"/>
        </w:trPr>
        <w:tc>
          <w:tcPr>
            <w:tcW w:w="83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Regulated Energy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29"/>
        </w:trPr>
        <w:tc>
          <w:tcPr>
            <w:tcW w:w="8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Unregulated Energy</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Businesses and Eliminations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Regulated natural gas and electric costs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Unregulated propane and natural gas costs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30"/>
        </w:trPr>
        <w:tc>
          <w:tcPr>
            <w:tcW w:w="8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Maintenance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8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8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FCG transaction and transition-related expenses</w:t>
            </w:r>
          </w:p>
        </w:tc>
        <w:tc>
          <w:tcPr>
            <w:tcW w:w="3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8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253.7</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0" w:type="dxa"/>
            <w:vAlign w:val="bottom"/>
          </w:tcPr>
          <w:p>
            <w:pPr>
              <w:spacing w:after="0"/>
              <w:rPr>
                <w:sz w:val="1"/>
                <w:szCs w:val="1"/>
                <w:color w:val="auto"/>
              </w:rPr>
            </w:pP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charges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23,937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22,957</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24,053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23,041</w:t>
            </w: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of Common Stock:</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8"/>
        </w:trPr>
        <w:tc>
          <w:tcPr>
            <w:tcW w:w="8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14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Chesapeake Utilities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40" w:type="dxa"/>
            <w:vAlign w:val="bottom"/>
          </w:tcPr>
          <w:p>
            <w:pPr>
              <w:spacing w:after="0"/>
              <w:rPr>
                <w:sz w:val="19"/>
                <w:szCs w:val="19"/>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6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864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Flow Hedges, net of tax:</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gain on commodity contract cash flow hedges, net of tax of $0.4 and $0.2, respectively</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175"/>
        </w:trPr>
        <w:tc>
          <w:tcPr>
            <w:tcW w:w="86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Reclassifications of net (gain) loss on commodity contract cash flow hedges, net of tax of $0.0 and $(0.2),</w:t>
            </w:r>
          </w:p>
        </w:tc>
        <w:tc>
          <w:tcPr>
            <w:tcW w:w="84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respectively</w:t>
            </w:r>
          </w:p>
        </w:tc>
        <w:tc>
          <w:tcPr>
            <w:tcW w:w="840" w:type="dxa"/>
            <w:vAlign w:val="bottom"/>
            <w:shd w:val="clear" w:color="auto" w:fill="CCEEFF"/>
          </w:tcPr>
          <w:p>
            <w:pPr>
              <w:spacing w:after="0"/>
              <w:rPr>
                <w:sz w:val="21"/>
                <w:szCs w:val="21"/>
                <w:color w:val="auto"/>
              </w:rPr>
            </w:pPr>
          </w:p>
        </w:tc>
        <w:tc>
          <w:tcPr>
            <w:tcW w:w="4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on interest rate swap cash flow hedges, net of tax of $0.0 and $(0.2), respectively</w:t>
            </w:r>
          </w:p>
        </w:tc>
        <w:tc>
          <w:tcPr>
            <w:tcW w:w="8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Reclassifications of net (gain) on interest rate swap cash flow hedges, net of tax of $0.0 and $0.0, respectively</w:t>
            </w:r>
          </w:p>
        </w:tc>
        <w:tc>
          <w:tcPr>
            <w:tcW w:w="8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8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Chesapeake Utilities Corporation and Subsidiaries</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7"/>
                <w:szCs w:val="17"/>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550"/>
              <w:spacing w:after="0" w:line="202" w:lineRule="exact"/>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490"/>
              <w:spacing w:after="0" w:line="202" w:lineRule="exact"/>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shares and per share data)</w:t>
            </w: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Regulated Energy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Unregulated Energy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 Businesses and Eliminations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Construction work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3,118.4</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and other receivables,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revenue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Propane inventory, at average cost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inventory, at average cost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Regulatory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Storage gas prepayments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Derivative assets, at fair value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Charges and Other Assets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assets, at fair value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Regulatory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Receivables and other deferred charges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charges and 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4,095.9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Chesapeake Utilities Corporation and Subsidiaries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Capitalization and Liabilities</w:t>
            </w:r>
          </w:p>
        </w:tc>
        <w:tc>
          <w:tcPr>
            <w:tcW w:w="260" w:type="dxa"/>
            <w:vAlign w:val="bottom"/>
          </w:tcPr>
          <w:p>
            <w:pPr>
              <w:spacing w:after="0"/>
              <w:rPr>
                <w:sz w:val="17"/>
                <w:szCs w:val="17"/>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ind w:right="530"/>
              <w:spacing w:after="0" w:line="198" w:lineRule="exact"/>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450"/>
              <w:spacing w:after="0" w:line="198" w:lineRule="exact"/>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shares and per share data)</w:t>
            </w: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8000" w:type="dxa"/>
            <w:vAlign w:val="bottom"/>
            <w:gridSpan w:val="2"/>
            <w:shd w:val="clear" w:color="auto" w:fill="CCEEFF"/>
          </w:tcPr>
          <w:p>
            <w:pPr>
              <w:ind w:left="660"/>
              <w:spacing w:after="0" w:line="184" w:lineRule="exact"/>
              <w:rPr>
                <w:sz w:val="20"/>
                <w:szCs w:val="20"/>
                <w:color w:val="auto"/>
              </w:rPr>
            </w:pPr>
            <w:r>
              <w:rPr>
                <w:rFonts w:ascii="Times New Roman" w:cs="Times New Roman" w:eastAsia="Times New Roman" w:hAnsi="Times New Roman"/>
                <w:sz w:val="18"/>
                <w:szCs w:val="18"/>
                <w:color w:val="auto"/>
              </w:rPr>
              <w:t>Preferred stock, par value $0.01 per share (authorized 2,000,000 shares), no shares issued and</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vMerge w:val="continue"/>
            <w:shd w:val="clear" w:color="auto" w:fill="CCEEFF"/>
          </w:tcPr>
          <w:p>
            <w:pPr>
              <w:spacing w:after="0"/>
              <w:rPr>
                <w:sz w:val="20"/>
                <w:szCs w:val="20"/>
                <w:color w:val="auto"/>
              </w:rPr>
            </w:pPr>
          </w:p>
        </w:tc>
        <w:tc>
          <w:tcPr>
            <w:tcW w:w="14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Common stock, par value $0.4867 per share (authorized 75,000,000 shares)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Deferred compensation obligation</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Treasury stock</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1,325.3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2,977.0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2,925.6</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Short-term borrowing</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deposits and refunds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payable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Regulatory liabilities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Derivative liabilities, at fair value</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553.7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Credits and Other Liabilities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Regulatory liabilities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Environmental liabilities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pension and benefit costs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Derivative liabilities, at fair value</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 liabilities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Deferred investment tax credits and other liabilities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credits and 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Environmental and other commitments and contingencies (Notes 6 and 7)</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 and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Chesapeake Utilities Corporation and Subsidiaries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40" w:type="dxa"/>
            <w:vAlign w:val="bottom"/>
          </w:tcPr>
          <w:p>
            <w:pPr>
              <w:spacing w:after="0"/>
              <w:rPr>
                <w:sz w:val="18"/>
                <w:szCs w:val="18"/>
                <w:color w:val="auto"/>
              </w:rPr>
            </w:pPr>
          </w:p>
        </w:tc>
        <w:tc>
          <w:tcPr>
            <w:tcW w:w="226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8"/>
                <w:szCs w:val="18"/>
                <w:color w:val="auto"/>
              </w:rPr>
            </w:pPr>
          </w:p>
        </w:tc>
      </w:tr>
      <w:tr>
        <w:trPr>
          <w:trHeight w:val="219"/>
        </w:trPr>
        <w:tc>
          <w:tcPr>
            <w:tcW w:w="84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00" w:type="dxa"/>
            <w:vAlign w:val="bottom"/>
            <w:tcBorders>
              <w:bottom w:val="single" w:sz="8" w:color="auto"/>
            </w:tcBorders>
          </w:tcPr>
          <w:p>
            <w:pPr>
              <w:spacing w:after="0"/>
              <w:rPr>
                <w:sz w:val="19"/>
                <w:szCs w:val="19"/>
                <w:color w:val="auto"/>
              </w:rPr>
            </w:pPr>
          </w:p>
        </w:tc>
      </w:tr>
      <w:tr>
        <w:trPr>
          <w:trHeight w:val="211"/>
        </w:trPr>
        <w:tc>
          <w:tcPr>
            <w:tcW w:w="84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r>
      <w:tr>
        <w:trPr>
          <w:trHeight w:val="17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r>
      <w:tr>
        <w:trPr>
          <w:trHeight w:val="215"/>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7"/>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4"/>
        </w:trPr>
        <w:tc>
          <w:tcPr>
            <w:tcW w:w="84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accretion included in other costs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8"/>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4"/>
        </w:trPr>
        <w:tc>
          <w:tcPr>
            <w:tcW w:w="84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Realized loss on commodity contracts and sale of assets</w:t>
            </w:r>
          </w:p>
        </w:tc>
        <w:tc>
          <w:tcPr>
            <w:tcW w:w="8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8"/>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Unrealized loss on investments and commodity contracts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4"/>
        </w:trPr>
        <w:tc>
          <w:tcPr>
            <w:tcW w:w="84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Employee benefits and compensation</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Share-based compensation</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9"/>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receivable and accrued revenue</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4"/>
        </w:trPr>
        <w:tc>
          <w:tcPr>
            <w:tcW w:w="84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Propane inventory, storage gas and other inventory</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8"/>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Regulatory assets and liabilities, net</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4"/>
        </w:trPr>
        <w:tc>
          <w:tcPr>
            <w:tcW w:w="84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8"/>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4"/>
        </w:trPr>
        <w:tc>
          <w:tcPr>
            <w:tcW w:w="84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Income taxes receivable</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8"/>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Customer deposits and refunds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4"/>
        </w:trPr>
        <w:tc>
          <w:tcPr>
            <w:tcW w:w="84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compensation</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18"/>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interest</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4"/>
        </w:trPr>
        <w:tc>
          <w:tcPr>
            <w:tcW w:w="84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1"/>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118.0</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7"/>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Property, plant and equipment expenditures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(141.9)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(113.8)</w:t>
            </w:r>
          </w:p>
        </w:tc>
      </w:tr>
      <w:tr>
        <w:trPr>
          <w:trHeight w:val="214"/>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8"/>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Environmental expenditures</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8"/>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(141.7)</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(113.1)</w:t>
            </w:r>
          </w:p>
        </w:tc>
      </w:tr>
      <w:tr>
        <w:trPr>
          <w:trHeight w:val="19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4"/>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Common stock dividends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18"/>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issuance of common stock, net of expenses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14"/>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Tax withholding payments related to net settled stock compensation</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8"/>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cash overdrafts due to outstanding checks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4"/>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borrowings under line of credit agreements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42.0</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18"/>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 of long-term debt and finance lease obligation</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8"/>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26.6</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11"/>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4"/>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Equivalents—Beginning of Period</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36"/>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Equivalents—End of Period</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Chesapeake Utilities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960" w:type="dxa"/>
            <w:vAlign w:val="bottom"/>
            <w:gridSpan w:val="5"/>
          </w:tcPr>
          <w:p>
            <w:pPr>
              <w:ind w:left="440"/>
              <w:spacing w:after="0"/>
              <w:rPr>
                <w:sz w:val="20"/>
                <w:szCs w:val="20"/>
                <w:color w:val="auto"/>
              </w:rPr>
            </w:pPr>
            <w:r>
              <w:rPr>
                <w:rFonts w:ascii="Times New Roman" w:cs="Times New Roman" w:eastAsia="Times New Roman" w:hAnsi="Times New Roman"/>
                <w:sz w:val="13"/>
                <w:szCs w:val="13"/>
                <w:b w:val="1"/>
                <w:bCs w:val="1"/>
                <w:color w:val="auto"/>
              </w:rPr>
              <w:t xml:space="preserve">Common Stock </w:t>
            </w:r>
            <w:r>
              <w:rPr>
                <w:rFonts w:ascii="Times New Roman" w:cs="Times New Roman" w:eastAsia="Times New Roman" w:hAnsi="Times New Roman"/>
                <w:sz w:val="16"/>
                <w:szCs w:val="16"/>
                <w:b w:val="1"/>
                <w:bCs w:val="1"/>
                <w:color w:val="auto"/>
                <w:vertAlign w:val="superscript"/>
              </w:rPr>
              <w:t>(1)</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306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tcPr>
          <w:p>
            <w:pPr>
              <w:jc w:val="center"/>
              <w:ind w:right="260"/>
              <w:spacing w:after="0" w:line="102"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i w:val="1"/>
                <w:iCs w:val="1"/>
                <w:color w:val="auto"/>
                <w:w w:val="99"/>
              </w:rPr>
              <w:t>(dollars in millions, shares in thousands (except per share</w:t>
            </w:r>
          </w:p>
        </w:tc>
        <w:tc>
          <w:tcPr>
            <w:tcW w:w="10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88"/>
              </w:rPr>
              <w:t>Par</w:t>
            </w:r>
          </w:p>
        </w:tc>
        <w:tc>
          <w:tcPr>
            <w:tcW w:w="180" w:type="dxa"/>
            <w:vAlign w:val="bottom"/>
          </w:tcPr>
          <w:p>
            <w:pPr>
              <w:spacing w:after="0"/>
              <w:rPr>
                <w:sz w:val="11"/>
                <w:szCs w:val="11"/>
                <w:color w:val="auto"/>
              </w:rPr>
            </w:pPr>
          </w:p>
        </w:tc>
        <w:tc>
          <w:tcPr>
            <w:tcW w:w="8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Deferred</w:t>
            </w:r>
          </w:p>
        </w:tc>
        <w:tc>
          <w:tcPr>
            <w:tcW w:w="1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180" w:type="dxa"/>
            <w:vAlign w:val="bottom"/>
          </w:tcPr>
          <w:p>
            <w:pPr>
              <w:spacing w:after="0"/>
              <w:rPr>
                <w:sz w:val="11"/>
                <w:szCs w:val="11"/>
                <w:color w:val="auto"/>
              </w:rPr>
            </w:pPr>
          </w:p>
        </w:tc>
        <w:tc>
          <w:tcPr>
            <w:tcW w:w="66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data))</w:t>
            </w:r>
          </w:p>
        </w:tc>
        <w:tc>
          <w:tcPr>
            <w:tcW w:w="106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3"/>
                <w:szCs w:val="13"/>
                <w:b w:val="1"/>
                <w:bCs w:val="1"/>
                <w:color w:val="auto"/>
                <w:w w:val="93"/>
              </w:rPr>
              <w:t xml:space="preserve">Shares </w:t>
            </w:r>
            <w:r>
              <w:rPr>
                <w:rFonts w:ascii="Times New Roman" w:cs="Times New Roman" w:eastAsia="Times New Roman" w:hAnsi="Times New Roman"/>
                <w:sz w:val="16"/>
                <w:szCs w:val="16"/>
                <w:b w:val="1"/>
                <w:bCs w:val="1"/>
                <w:color w:val="auto"/>
                <w:w w:val="93"/>
                <w:vertAlign w:val="superscript"/>
              </w:rPr>
              <w:t>(2)</w:t>
            </w:r>
          </w:p>
        </w:tc>
        <w:tc>
          <w:tcPr>
            <w:tcW w:w="160" w:type="dxa"/>
            <w:vAlign w:val="bottom"/>
          </w:tcPr>
          <w:p>
            <w:pPr>
              <w:spacing w:after="0"/>
              <w:rPr>
                <w:sz w:val="15"/>
                <w:szCs w:val="15"/>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8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2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22,899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550.3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1,390.2</w:t>
            </w:r>
          </w:p>
        </w:tc>
        <w:tc>
          <w:tcPr>
            <w:tcW w:w="0" w:type="dxa"/>
            <w:vAlign w:val="bottom"/>
          </w:tcPr>
          <w:p>
            <w:pPr>
              <w:spacing w:after="0"/>
              <w:rPr>
                <w:sz w:val="1"/>
                <w:szCs w:val="1"/>
                <w:color w:val="auto"/>
              </w:rPr>
            </w:pPr>
          </w:p>
        </w:tc>
      </w:tr>
      <w:tr>
        <w:trPr>
          <w:trHeight w:val="170"/>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0" w:type="dxa"/>
            <w:vAlign w:val="bottom"/>
          </w:tcPr>
          <w:p>
            <w:pPr>
              <w:spacing w:after="0"/>
              <w:rPr>
                <w:sz w:val="1"/>
                <w:szCs w:val="1"/>
                <w:color w:val="auto"/>
              </w:rPr>
            </w:pPr>
          </w:p>
        </w:tc>
      </w:tr>
      <w:tr>
        <w:trPr>
          <w:trHeight w:val="18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70"/>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($0.640 per share)</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0" w:type="dxa"/>
            <w:vAlign w:val="bottom"/>
          </w:tcPr>
          <w:p>
            <w:pPr>
              <w:spacing w:after="0"/>
              <w:rPr>
                <w:sz w:val="1"/>
                <w:szCs w:val="1"/>
                <w:color w:val="auto"/>
              </w:rPr>
            </w:pPr>
          </w:p>
        </w:tc>
      </w:tr>
      <w:tr>
        <w:trPr>
          <w:trHeight w:val="181"/>
        </w:trPr>
        <w:tc>
          <w:tcPr>
            <w:tcW w:w="30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 xml:space="preserve">Issuance under various plans </w:t>
            </w:r>
            <w:r>
              <w:rPr>
                <w:rFonts w:ascii="Times New Roman" w:cs="Times New Roman" w:eastAsia="Times New Roman" w:hAnsi="Times New Roman"/>
                <w:sz w:val="16"/>
                <w:szCs w:val="16"/>
                <w:color w:val="auto"/>
                <w:vertAlign w:val="superscript"/>
              </w:rPr>
              <w:t>(3)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Share-based compensation and tax benefit </w:t>
            </w:r>
            <w:r>
              <w:rPr>
                <w:rFonts w:ascii="Times New Roman" w:cs="Times New Roman" w:eastAsia="Times New Roman" w:hAnsi="Times New Roman"/>
                <w:sz w:val="16"/>
                <w:szCs w:val="16"/>
                <w:color w:val="auto"/>
                <w:vertAlign w:val="superscript"/>
              </w:rPr>
              <w:t>(4) (5)</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Treasury stock activities </w:t>
            </w:r>
            <w:r>
              <w:rPr>
                <w:rFonts w:ascii="Times New Roman" w:cs="Times New Roman" w:eastAsia="Times New Roman" w:hAnsi="Times New Roman"/>
                <w:sz w:val="16"/>
                <w:szCs w:val="16"/>
                <w:color w:val="auto"/>
                <w:vertAlign w:val="superscript"/>
              </w:rPr>
              <w:t>(2)</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306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23,089</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11.2</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852.0</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586.4</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(2.3)</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12.2</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(12.2)</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1,447.3</w:t>
            </w: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23,896</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11.6</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962.8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626.8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(12.6)</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1,598.5</w:t>
            </w:r>
          </w:p>
        </w:tc>
        <w:tc>
          <w:tcPr>
            <w:tcW w:w="0" w:type="dxa"/>
            <w:vAlign w:val="bottom"/>
          </w:tcPr>
          <w:p>
            <w:pPr>
              <w:spacing w:after="0"/>
              <w:rPr>
                <w:sz w:val="1"/>
                <w:szCs w:val="1"/>
                <w:color w:val="auto"/>
              </w:rPr>
            </w:pPr>
          </w:p>
        </w:tc>
      </w:tr>
      <w:tr>
        <w:trPr>
          <w:trHeight w:val="18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59.3</w:t>
            </w:r>
          </w:p>
        </w:tc>
        <w:tc>
          <w:tcPr>
            <w:tcW w:w="0" w:type="dxa"/>
            <w:vAlign w:val="bottom"/>
          </w:tcPr>
          <w:p>
            <w:pPr>
              <w:spacing w:after="0"/>
              <w:rPr>
                <w:sz w:val="1"/>
                <w:szCs w:val="1"/>
                <w:color w:val="auto"/>
              </w:rPr>
            </w:pPr>
          </w:p>
        </w:tc>
      </w:tr>
      <w:tr>
        <w:trPr>
          <w:trHeight w:val="171"/>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w:t>
            </w:r>
          </w:p>
        </w:tc>
        <w:tc>
          <w:tcPr>
            <w:tcW w:w="0" w:type="dxa"/>
            <w:vAlign w:val="bottom"/>
          </w:tcPr>
          <w:p>
            <w:pPr>
              <w:spacing w:after="0"/>
              <w:rPr>
                <w:sz w:val="1"/>
                <w:szCs w:val="1"/>
                <w:color w:val="auto"/>
              </w:rPr>
            </w:pPr>
          </w:p>
        </w:tc>
      </w:tr>
      <w:tr>
        <w:trPr>
          <w:trHeight w:val="18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 ($0.685 per share)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(16.8)</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Issuance under various plans and ATM program </w:t>
            </w:r>
            <w:r>
              <w:rPr>
                <w:rFonts w:ascii="Times New Roman" w:cs="Times New Roman" w:eastAsia="Times New Roman" w:hAnsi="Times New Roman"/>
                <w:sz w:val="16"/>
                <w:szCs w:val="16"/>
                <w:color w:val="auto"/>
                <w:vertAlign w:val="superscript"/>
              </w:rPr>
              <w:t>(3)</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7.0</w:t>
            </w:r>
          </w:p>
        </w:tc>
        <w:tc>
          <w:tcPr>
            <w:tcW w:w="0" w:type="dxa"/>
            <w:vAlign w:val="bottom"/>
          </w:tcPr>
          <w:p>
            <w:pPr>
              <w:spacing w:after="0"/>
              <w:rPr>
                <w:sz w:val="1"/>
                <w:szCs w:val="1"/>
                <w:color w:val="auto"/>
              </w:rPr>
            </w:pPr>
          </w:p>
        </w:tc>
      </w:tr>
      <w:tr>
        <w:trPr>
          <w:trHeight w:val="175"/>
        </w:trPr>
        <w:tc>
          <w:tcPr>
            <w:tcW w:w="30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Share-based compensation and tax benefit </w:t>
            </w:r>
            <w:r>
              <w:rPr>
                <w:rFonts w:ascii="Times New Roman" w:cs="Times New Roman" w:eastAsia="Times New Roman" w:hAnsi="Times New Roman"/>
                <w:sz w:val="16"/>
                <w:szCs w:val="16"/>
                <w:color w:val="auto"/>
                <w:vertAlign w:val="superscript"/>
              </w:rPr>
              <w:t>(4) (5)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Treasury stock activities </w:t>
            </w:r>
            <w:r>
              <w:rPr>
                <w:rFonts w:ascii="Times New Roman" w:cs="Times New Roman" w:eastAsia="Times New Roman" w:hAnsi="Times New Roman"/>
                <w:sz w:val="16"/>
                <w:szCs w:val="16"/>
                <w:color w:val="auto"/>
                <w:vertAlign w:val="superscript"/>
              </w:rPr>
              <w:t>(2)</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4"/>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2026</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24,003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972.2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669.3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1,651.7</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340" w:hanging="332"/>
        <w:spacing w:after="0" w:line="271" w:lineRule="auto"/>
        <w:tabs>
          <w:tab w:leader="none" w:pos="331"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2.0 million shares of preferred stock at $0.01 par value have been authorized. No preferred shares have been issued or are outstanding; accordingly, no information has been included in the Condensed Consolidated Statements of Stockholders’ Equity.</w:t>
      </w:r>
    </w:p>
    <w:p>
      <w:pPr>
        <w:ind w:left="340" w:right="20" w:hanging="332"/>
        <w:spacing w:after="0" w:line="251" w:lineRule="auto"/>
        <w:tabs>
          <w:tab w:leader="none" w:pos="331"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Includes 158 thousand, 129 thousand, 126 thousand, and 114 thousand shares at March 31, 2026, December 31, 2025, March 31, 2025 and December 31, 2024, respectively, held in a Rabbi Trust related to our Non-Qualified Deferred Compensation Plan.</w:t>
      </w:r>
    </w:p>
    <w:p>
      <w:pPr>
        <w:ind w:left="320" w:hanging="312"/>
        <w:spacing w:after="0"/>
        <w:tabs>
          <w:tab w:leader="none" w:pos="32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Includes shares issued under the Retirement Savings Plan, DRIP/DSPP and/or ATM program, as applicable.</w:t>
      </w:r>
    </w:p>
    <w:p>
      <w:pPr>
        <w:spacing w:after="0" w:line="14" w:lineRule="exact"/>
        <w:rPr>
          <w:rFonts w:ascii="Times New Roman" w:cs="Times New Roman" w:eastAsia="Times New Roman" w:hAnsi="Times New Roman"/>
          <w:sz w:val="11"/>
          <w:szCs w:val="11"/>
          <w:color w:val="auto"/>
        </w:rPr>
      </w:pPr>
    </w:p>
    <w:p>
      <w:pPr>
        <w:ind w:left="320" w:hanging="312"/>
        <w:spacing w:after="0"/>
        <w:tabs>
          <w:tab w:leader="none" w:pos="32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Includes amounts for shares issued for directors’ compensation.</w:t>
      </w:r>
    </w:p>
    <w:p>
      <w:pPr>
        <w:spacing w:after="0" w:line="14" w:lineRule="exact"/>
        <w:rPr>
          <w:rFonts w:ascii="Times New Roman" w:cs="Times New Roman" w:eastAsia="Times New Roman" w:hAnsi="Times New Roman"/>
          <w:sz w:val="11"/>
          <w:szCs w:val="11"/>
          <w:color w:val="auto"/>
        </w:rPr>
      </w:pPr>
    </w:p>
    <w:p>
      <w:pPr>
        <w:ind w:left="340" w:hanging="332"/>
        <w:spacing w:after="0" w:line="283" w:lineRule="auto"/>
        <w:tabs>
          <w:tab w:leader="none" w:pos="331"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shares issued under the SICP are net of shares withheld for employee taxes. For the three months ended March 31, 2026 and 2025, we withheld 15 thousand and 8 thousand shares, respectively, for employee taxes.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OTES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ONDENSED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ONSOLIDATED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INANCIAL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TATEMENTS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NAUDITED</w:t>
      </w:r>
      <w:r>
        <w:rPr>
          <w:rFonts w:ascii="Times New Roman" w:cs="Times New Roman" w:eastAsia="Times New Roman" w:hAnsi="Times New Roman"/>
          <w:sz w:val="18"/>
          <w:szCs w:val="18"/>
          <w:b w:val="1"/>
          <w:bCs w:val="1"/>
          <w:color w:val="auto"/>
        </w:rPr>
        <w:t>)</w:t>
      </w:r>
    </w:p>
    <w:p>
      <w:pPr>
        <w:spacing w:after="0" w:line="252" w:lineRule="exact"/>
        <w:rPr>
          <w:sz w:val="20"/>
          <w:szCs w:val="20"/>
          <w:color w:val="auto"/>
        </w:rPr>
      </w:pPr>
    </w:p>
    <w:p>
      <w:pPr>
        <w:ind w:left="660" w:right="8420" w:hanging="652"/>
        <w:spacing w:after="0" w:line="565" w:lineRule="auto"/>
        <w:tabs>
          <w:tab w:leader="none" w:pos="327"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Accounting Policies </w:t>
      </w:r>
      <w:r>
        <w:rPr>
          <w:rFonts w:ascii="Times New Roman" w:cs="Times New Roman" w:eastAsia="Times New Roman" w:hAnsi="Times New Roman"/>
          <w:sz w:val="17"/>
          <w:szCs w:val="17"/>
          <w:b w:val="1"/>
          <w:bCs w:val="1"/>
          <w:i w:val="1"/>
          <w:iCs w:val="1"/>
          <w:color w:val="auto"/>
        </w:rPr>
        <w:t>Basis of Presentation</w:t>
      </w:r>
    </w:p>
    <w:p>
      <w:pPr>
        <w:spacing w:after="0" w:line="2"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References in this document to the “Company,” “Chesapeake Utilities,” “we,” “us” and “our” are intended to mean Chesapeake Utilities Corporation, its divisions and/or its subsidiaries, as appropriate in the context of the disclosure.</w:t>
      </w:r>
    </w:p>
    <w:p>
      <w:pPr>
        <w:spacing w:after="0" w:line="18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compliance with the rules and regulations of the SEC and GAAP. In accordance with these rules and regulations, certain information and disclosures normally required for audited financial statements have been condensed or omitted. These financial statements should be read in conjunction with the consolidated financial statements and notes thereto, included in our latest Annual Report on Form 10-K for the year ended December 31, 2025. In the opinion of management, these financial statements reflect all adjustments that are necessary for a fair presentation of our results of operations, financial position and cash flows for the interim periods presented.</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 necessary to improve comparability, prior period amounts have been reclassified to conform to current period presentation.</w:t>
      </w:r>
    </w:p>
    <w:p>
      <w:pPr>
        <w:spacing w:after="0" w:line="25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Due to the seasonality of our business, results for interim periods are not necessarily indicative of results for the entire fiscal year. Revenue and earnings are typically greater during the first and fourth quarters, when consumption of energy is highest due to colder temperatures.</w:t>
      </w: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FASB</w:t>
      </w:r>
    </w:p>
    <w:p>
      <w:pPr>
        <w:spacing w:after="0" w:line="2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u w:val="single" w:color="auto"/>
          <w:color w:val="auto"/>
        </w:rPr>
        <w:t>Income Taxes (ASC 740)</w:t>
      </w:r>
      <w:r>
        <w:rPr>
          <w:rFonts w:ascii="Times New Roman" w:cs="Times New Roman" w:eastAsia="Times New Roman" w:hAnsi="Times New Roman"/>
          <w:sz w:val="18"/>
          <w:szCs w:val="18"/>
          <w:color w:val="auto"/>
        </w:rPr>
        <w:t xml:space="preserve"> - 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which modifies required income tax disclosures primarily related to an entity's rate reconciliation and information pertaining to income taxes paid. These enhancements address requests from investors related to transparency and usefulness of income tax disclosures. ASU 2023-09 became effective for our annual financial statements beginning January 1, 2025. ASU 2023-09 only impacts disclosures, and as a result, will not have an impact on our financial position or results of operations.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 Yet to be Adopted</w:t>
      </w: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FASB</w:t>
      </w:r>
    </w:p>
    <w:p>
      <w:pPr>
        <w:spacing w:after="0" w:line="23"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u w:val="single" w:color="auto"/>
          <w:color w:val="auto"/>
        </w:rPr>
        <w:t>Income Statement Expense Disaggregation (ASC 220)</w:t>
      </w:r>
      <w:r>
        <w:rPr>
          <w:rFonts w:ascii="Times New Roman" w:cs="Times New Roman" w:eastAsia="Times New Roman" w:hAnsi="Times New Roman"/>
          <w:sz w:val="18"/>
          <w:szCs w:val="18"/>
          <w:color w:val="auto"/>
        </w:rPr>
        <w:t xml:space="preserve"> - In November 2024, the FASB issued ASU 2024-03, </w:t>
      </w:r>
      <w:r>
        <w:rPr>
          <w:rFonts w:ascii="Times New Roman" w:cs="Times New Roman" w:eastAsia="Times New Roman" w:hAnsi="Times New Roman"/>
          <w:sz w:val="18"/>
          <w:szCs w:val="18"/>
          <w:i w:val="1"/>
          <w:iCs w:val="1"/>
          <w:color w:val="auto"/>
        </w:rPr>
        <w:t>Disaggregation of 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which requires disclosure in the notes to financial statements of specified information about certain costs and expenses. ASU 2024-03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effective for our annual financial statements beginning January 1, 2027 and our interim financial statements beginning January 1, 2028. ASU 2024-04 only impacts disclosures, and as a result, will not have an impact on our financial position or results of operations.</w:t>
      </w:r>
    </w:p>
    <w:p>
      <w:pPr>
        <w:spacing w:after="0" w:line="21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u w:val="single" w:color="auto"/>
          <w:color w:val="auto"/>
        </w:rPr>
        <w:t>Internal-Use Software (ASC 350)</w:t>
      </w:r>
      <w:r>
        <w:rPr>
          <w:rFonts w:ascii="Times New Roman" w:cs="Times New Roman" w:eastAsia="Times New Roman" w:hAnsi="Times New Roman"/>
          <w:sz w:val="18"/>
          <w:szCs w:val="18"/>
          <w:color w:val="auto"/>
        </w:rPr>
        <w:t xml:space="preserve"> - In September 2025, the FASB issued ASU 2025-06, </w:t>
      </w:r>
      <w:r>
        <w:rPr>
          <w:rFonts w:ascii="Times New Roman" w:cs="Times New Roman" w:eastAsia="Times New Roman" w:hAnsi="Times New Roman"/>
          <w:sz w:val="18"/>
          <w:szCs w:val="18"/>
          <w:i w:val="1"/>
          <w:iCs w:val="1"/>
          <w:color w:val="auto"/>
        </w:rPr>
        <w:t xml:space="preserve">Targeted Improvements to the Accounting for Internal-Use Software. </w:t>
      </w:r>
      <w:r>
        <w:rPr>
          <w:rFonts w:ascii="Times New Roman" w:cs="Times New Roman" w:eastAsia="Times New Roman" w:hAnsi="Times New Roman"/>
          <w:sz w:val="18"/>
          <w:szCs w:val="18"/>
          <w:color w:val="auto"/>
        </w:rPr>
        <w:t>This update, among other changes, eliminates the project stages used in the historical guidance and instead, focuses on a principles-based approach that utilizes management's commitment to the project and the probability of project completion. ASU 2025-06 will be effective for our interim and annual financial statements beginning January 1, 2028. We do not expect ASU 2025-06 to have a material impact on our financial position or results of operation.</w:t>
      </w:r>
    </w:p>
    <w:p>
      <w:pPr>
        <w:spacing w:after="0" w:line="21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u w:val="single" w:color="auto"/>
          <w:color w:val="auto"/>
        </w:rPr>
        <w:t>Derivatives and Hedging (ASC 815)</w:t>
      </w:r>
      <w:r>
        <w:rPr>
          <w:rFonts w:ascii="Times New Roman" w:cs="Times New Roman" w:eastAsia="Times New Roman" w:hAnsi="Times New Roman"/>
          <w:sz w:val="18"/>
          <w:szCs w:val="18"/>
          <w:color w:val="auto"/>
        </w:rPr>
        <w:t xml:space="preserve"> - In November 2025, the FASB issued ASU 2025-09, </w:t>
      </w:r>
      <w:r>
        <w:rPr>
          <w:rFonts w:ascii="Times New Roman" w:cs="Times New Roman" w:eastAsia="Times New Roman" w:hAnsi="Times New Roman"/>
          <w:sz w:val="18"/>
          <w:szCs w:val="18"/>
          <w:i w:val="1"/>
          <w:iCs w:val="1"/>
          <w:color w:val="auto"/>
        </w:rPr>
        <w:t>Hedge Accounting Improvements</w:t>
      </w:r>
      <w:r>
        <w:rPr>
          <w:rFonts w:ascii="Times New Roman" w:cs="Times New Roman" w:eastAsia="Times New Roman" w:hAnsi="Times New Roman"/>
          <w:sz w:val="18"/>
          <w:szCs w:val="18"/>
          <w:color w:val="auto"/>
        </w:rPr>
        <w:t>. This update aims to align hedge accounting more closely with an entity's risk management activities. The update focuses on reducing complexity and expands the eligibility of highly effective economic hedges. ASU 2025-09 will be effective for our interim and annual financial statements beginning January 1, 2027. We do not expect this ASU to have a material impact on our financial position or results of operation.</w:t>
      </w:r>
    </w:p>
    <w:p>
      <w:pPr>
        <w:spacing w:after="0" w:line="207" w:lineRule="exact"/>
        <w:rPr>
          <w:sz w:val="20"/>
          <w:szCs w:val="20"/>
          <w:color w:val="auto"/>
        </w:rPr>
      </w:pPr>
    </w:p>
    <w:p>
      <w:pPr>
        <w:jc w:val="both"/>
        <w:ind w:left="660" w:right="20"/>
        <w:spacing w:after="0" w:line="284" w:lineRule="auto"/>
        <w:rPr>
          <w:sz w:val="20"/>
          <w:szCs w:val="20"/>
          <w:color w:val="auto"/>
        </w:rPr>
      </w:pPr>
      <w:r>
        <w:rPr>
          <w:rFonts w:ascii="Times New Roman" w:cs="Times New Roman" w:eastAsia="Times New Roman" w:hAnsi="Times New Roman"/>
          <w:sz w:val="18"/>
          <w:szCs w:val="18"/>
          <w:u w:val="single" w:color="auto"/>
          <w:color w:val="auto"/>
        </w:rPr>
        <w:t>Interim Reporting (ASC 270)</w:t>
      </w:r>
      <w:r>
        <w:rPr>
          <w:rFonts w:ascii="Times New Roman" w:cs="Times New Roman" w:eastAsia="Times New Roman" w:hAnsi="Times New Roman"/>
          <w:sz w:val="18"/>
          <w:szCs w:val="18"/>
          <w:color w:val="auto"/>
        </w:rPr>
        <w:t xml:space="preserve"> - In December 2025, the FASB issued ASU 2025-11, </w:t>
      </w:r>
      <w:r>
        <w:rPr>
          <w:rFonts w:ascii="Times New Roman" w:cs="Times New Roman" w:eastAsia="Times New Roman" w:hAnsi="Times New Roman"/>
          <w:sz w:val="18"/>
          <w:szCs w:val="18"/>
          <w:i w:val="1"/>
          <w:iCs w:val="1"/>
          <w:color w:val="auto"/>
        </w:rPr>
        <w:t>Narrow-Scope Improvements</w:t>
      </w:r>
      <w:r>
        <w:rPr>
          <w:rFonts w:ascii="Times New Roman" w:cs="Times New Roman" w:eastAsia="Times New Roman" w:hAnsi="Times New Roman"/>
          <w:sz w:val="18"/>
          <w:szCs w:val="18"/>
          <w:color w:val="auto"/>
        </w:rPr>
        <w:t>. The update clarifies the scope and content requirements for interim financial reporting. It will not fundamentally change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existing interim disclosure requirements but improves the navigability of the guidance. ASU 2025-11 will be effective for our interim and annual financial statements beginning January 1, 2028. ASU 2025-11 only impacts disclosures, and as a result, will not have an impact on our financial position or results of operations.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Federal Statute Updates</w:t>
      </w:r>
    </w:p>
    <w:p>
      <w:pPr>
        <w:spacing w:after="0" w:line="29"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In July 2025, the One Big Beautiful Bill Act (referred to as the "OBBBA") was signed into law. The comprehensive legislative package includes, among other topics, significant tax law changes and regulatory compliance updates with various effective dates, including provisions related to the reinstatement of bonus depreciation for non-regulated qualified property, limitations of interest expense deductions, and modified provisions of the inflation Reduction Act related to production and investment tax credits. The Company expects the provisions of the OBBBA to have a net favorable impact on its income tax position over the long term, primarily due to accelerated tax benefits associated with qualifying capital investments.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  Calculation of Earnings Per Share</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shares in thousands (except per share data))</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75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Calculation of Basic Earnings Per Share: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23,937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22,957</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7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Calculation of Diluted Earnings Per Share:</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Denominator:</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7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shares outstanding—Basic</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23,937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dilutive securities—Share-based compensation</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denominator—Diluted</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24,053</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23,041</w:t>
            </w: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7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There were no acquisitions completed during 2025 or during the three months ended March 31, 2026. The Company’s consolidated results include certain transaction and transition-related expenses for the three months ended March 31, 2025 related to the integration of the FCG acquisition which was completed in November 2023. Refer to our Annual Report on Form 10-K for the year ended December 31, 2025 for additional details on the FCG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7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We recognize revenue when our performance obligations under contracts with customers have been satisfied, which generally occurs when our businesses have delivered or transported natural gas, electricity or propane to customers. We exclude sales taxes and other similar taxes from the transaction price. Typically, our customers pay for the goods and/or services we provide in the month following the satisfaction of our performance obligation. The following tables display our revenue by major source based on product and service type for the three months ended March 31, 2026 and 2025:</w:t>
      </w:r>
    </w:p>
    <w:p>
      <w:pPr>
        <w:spacing w:after="0" w:line="39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0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Regulated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Unregulated</w:t>
            </w:r>
          </w:p>
        </w:tc>
        <w:tc>
          <w:tcPr>
            <w:tcW w:w="120" w:type="dxa"/>
            <w:vAlign w:val="bottom"/>
          </w:tcPr>
          <w:p>
            <w:pPr>
              <w:spacing w:after="0"/>
              <w:rPr>
                <w:sz w:val="11"/>
                <w:szCs w:val="11"/>
                <w:color w:val="auto"/>
              </w:rPr>
            </w:pPr>
          </w:p>
        </w:tc>
        <w:tc>
          <w:tcPr>
            <w:tcW w:w="11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8"/>
              </w:rPr>
              <w:t>Regulated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Unregulated</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Businesses and</w:t>
            </w:r>
          </w:p>
        </w:tc>
        <w:tc>
          <w:tcPr>
            <w:tcW w:w="14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Businesses and</w:t>
            </w:r>
          </w:p>
        </w:tc>
        <w:tc>
          <w:tcPr>
            <w:tcW w:w="160" w:type="dxa"/>
            <w:vAlign w:val="bottom"/>
          </w:tcPr>
          <w:p>
            <w:pPr>
              <w:spacing w:after="0"/>
              <w:rPr>
                <w:sz w:val="12"/>
                <w:szCs w:val="12"/>
                <w:color w:val="auto"/>
              </w:rPr>
            </w:pPr>
          </w:p>
        </w:tc>
        <w:tc>
          <w:tcPr>
            <w:tcW w:w="5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Energy distribution</w:t>
            </w: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64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Delaware natural gas</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54.1</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54.1</w:t>
            </w:r>
          </w:p>
        </w:tc>
        <w:tc>
          <w:tcPr>
            <w:tcW w:w="2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42.3</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w:t>
            </w:r>
          </w:p>
        </w:tc>
        <w:tc>
          <w:tcPr>
            <w:tcW w:w="10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6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FPU natural gas</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58.9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11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58.9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95"/>
        </w:trPr>
        <w:tc>
          <w:tcPr>
            <w:tcW w:w="1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Florida City Gas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135"/>
        </w:trPr>
        <w:tc>
          <w:tcPr>
            <w:tcW w:w="16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FPU electric</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27.6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11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27.6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95"/>
        </w:trPr>
        <w:tc>
          <w:tcPr>
            <w:tcW w:w="1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64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Maryland natural gas</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distribution </w:t>
            </w:r>
            <w:r>
              <w:rPr>
                <w:rFonts w:ascii="Times New Roman" w:cs="Times New Roman" w:eastAsia="Times New Roman" w:hAnsi="Times New Roman"/>
                <w:sz w:val="9"/>
                <w:szCs w:val="9"/>
                <w:color w:val="auto"/>
              </w:rPr>
              <w:t>(1)</w:t>
            </w: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energy distribution</w:t>
            </w: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234.6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234.6</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185.7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0" w:type="dxa"/>
            <w:vAlign w:val="bottom"/>
          </w:tcPr>
          <w:p>
            <w:pPr>
              <w:spacing w:after="0"/>
              <w:rPr>
                <w:sz w:val="1"/>
                <w:szCs w:val="1"/>
                <w:color w:val="auto"/>
              </w:rPr>
            </w:pPr>
          </w:p>
        </w:tc>
      </w:tr>
      <w:tr>
        <w:trPr>
          <w:trHeight w:val="209"/>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Energy transmission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Aspire Energy</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209"/>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Aspire Energy Express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96"/>
        </w:trPr>
        <w:tc>
          <w:tcPr>
            <w:tcW w:w="1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Eastern Shore</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209"/>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Peninsula Pipeline</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15"/>
        </w:trPr>
        <w:tc>
          <w:tcPr>
            <w:tcW w:w="164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Total energy</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41.4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26.3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67.7</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0" w:type="dxa"/>
            <w:vAlign w:val="bottom"/>
          </w:tcPr>
          <w:p>
            <w:pPr>
              <w:spacing w:after="0"/>
              <w:rPr>
                <w:sz w:val="1"/>
                <w:szCs w:val="1"/>
                <w:color w:val="auto"/>
              </w:rPr>
            </w:pPr>
          </w:p>
        </w:tc>
      </w:tr>
      <w:tr>
        <w:trPr>
          <w:trHeight w:val="195"/>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transmission</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Energy generation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Eight Flags</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09"/>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Propane operations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6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Propane delivery</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73.3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73.3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0" w:type="dxa"/>
            <w:vAlign w:val="bottom"/>
          </w:tcPr>
          <w:p>
            <w:pPr>
              <w:spacing w:after="0"/>
              <w:rPr>
                <w:sz w:val="1"/>
                <w:szCs w:val="1"/>
                <w:color w:val="auto"/>
              </w:rPr>
            </w:pPr>
          </w:p>
        </w:tc>
      </w:tr>
      <w:tr>
        <w:trPr>
          <w:trHeight w:val="195"/>
        </w:trPr>
        <w:tc>
          <w:tcPr>
            <w:tcW w:w="1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operations</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CNG / RNG Services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Marlin Gas Services</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9"/>
        </w:trPr>
        <w:tc>
          <w:tcPr>
            <w:tcW w:w="1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RNG</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15"/>
        </w:trPr>
        <w:tc>
          <w:tcPr>
            <w:tcW w:w="164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Total CNG / RNG</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8.3</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95"/>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Services</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6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Other Businesses and</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Eliminations</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(9.9)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55"/>
        </w:trPr>
        <w:tc>
          <w:tcPr>
            <w:tcW w:w="16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64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Total operating</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249.3</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113.7</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(9.9)</w:t>
            </w:r>
          </w:p>
        </w:tc>
        <w:tc>
          <w:tcPr>
            <w:tcW w:w="16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353.1</w:t>
            </w:r>
          </w:p>
        </w:tc>
        <w:tc>
          <w:tcPr>
            <w:tcW w:w="2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199.6</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0" w:type="dxa"/>
            <w:vAlign w:val="bottom"/>
          </w:tcPr>
          <w:p>
            <w:pPr>
              <w:spacing w:after="0"/>
              <w:rPr>
                <w:sz w:val="1"/>
                <w:szCs w:val="1"/>
                <w:color w:val="auto"/>
              </w:rPr>
            </w:pPr>
          </w:p>
        </w:tc>
      </w:tr>
      <w:tr>
        <w:trPr>
          <w:trHeight w:val="175"/>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revenues </w:t>
            </w:r>
            <w:r>
              <w:rPr>
                <w:rFonts w:ascii="Times New Roman" w:cs="Times New Roman" w:eastAsia="Times New Roman" w:hAnsi="Times New Roman"/>
                <w:sz w:val="9"/>
                <w:szCs w:val="9"/>
                <w:b w:val="1"/>
                <w:bCs w:val="1"/>
                <w:color w:val="auto"/>
              </w:rPr>
              <w:t>(2)</w:t>
            </w:r>
          </w:p>
        </w:tc>
        <w:tc>
          <w:tcPr>
            <w:tcW w:w="1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660" w:hanging="4"/>
        <w:spacing w:after="0" w:line="281" w:lineRule="auto"/>
        <w:tabs>
          <w:tab w:leader="none" w:pos="814"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In accordance with the Maryland PSC approval of our natural gas base rate proceeding, effective April 2025, our natural gas distribution businesses in Maryland (Maryland natural gas division, Sandpiper Energy and Elkton Gas) are now consolidated for rate-making and other purposes and are reflected on a consolidated basis for all periods presented consistent with the final rate order. See Note 5, </w:t>
      </w:r>
      <w:r>
        <w:rPr>
          <w:rFonts w:ascii="Times New Roman" w:cs="Times New Roman" w:eastAsia="Times New Roman" w:hAnsi="Times New Roman"/>
          <w:sz w:val="14"/>
          <w:szCs w:val="14"/>
          <w:i w:val="1"/>
          <w:iCs w:val="1"/>
          <w:color w:val="auto"/>
        </w:rPr>
        <w:t>Rates and Other Regulatory Activities</w:t>
      </w:r>
      <w:r>
        <w:rPr>
          <w:rFonts w:ascii="Times New Roman" w:cs="Times New Roman" w:eastAsia="Times New Roman" w:hAnsi="Times New Roman"/>
          <w:sz w:val="14"/>
          <w:szCs w:val="14"/>
          <w:color w:val="auto"/>
        </w:rPr>
        <w:t>, for additional information.</w:t>
      </w:r>
    </w:p>
    <w:p>
      <w:pPr>
        <w:spacing w:after="0" w:line="55" w:lineRule="exact"/>
        <w:rPr>
          <w:rFonts w:ascii="Times New Roman" w:cs="Times New Roman" w:eastAsia="Times New Roman" w:hAnsi="Times New Roman"/>
          <w:sz w:val="9"/>
          <w:szCs w:val="9"/>
          <w:color w:val="auto"/>
        </w:rPr>
      </w:pPr>
    </w:p>
    <w:p>
      <w:pPr>
        <w:jc w:val="both"/>
        <w:ind w:left="660" w:hanging="4"/>
        <w:spacing w:after="0" w:line="268" w:lineRule="auto"/>
        <w:tabs>
          <w:tab w:leader="none" w:pos="792"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Total operating revenues for the three months ended March 31, 2026 include other revenue (revenues from sources other than contracts with customers) of $1.5 million loss and $0.1 million for our Regulated Energy and Unregulated Energy segments, respectively, and $0.5 million loss and $0.1 million for our Regulated Energy and Unregulated Energy segments, respectively, for the three months ended March 31, 2025. The sources of other revenues include revenue from alternative revenue programs related to revenue normalization for the Maryland natural gas operations and late fees.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customer billings and cash collections results in trade receivables and customer advances (contract liabilities) in our condensed consolidated balance sheets. The balances of our trade receivables, contract assets, and contract liabilities as of December 31, 2025 and March 31, 2026 were as follows:</w:t>
      </w:r>
    </w:p>
    <w:p>
      <w:pPr>
        <w:spacing w:after="0" w:line="8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Trade</w:t>
            </w:r>
          </w:p>
        </w:tc>
        <w:tc>
          <w:tcPr>
            <w:tcW w:w="160" w:type="dxa"/>
            <w:vAlign w:val="bottom"/>
          </w:tcPr>
          <w:p>
            <w:pPr>
              <w:spacing w:after="0"/>
              <w:rPr>
                <w:sz w:val="17"/>
                <w:szCs w:val="17"/>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Contract Assets</w:t>
            </w:r>
          </w:p>
        </w:tc>
        <w:tc>
          <w:tcPr>
            <w:tcW w:w="120" w:type="dxa"/>
            <w:vAlign w:val="bottom"/>
          </w:tcPr>
          <w:p>
            <w:pPr>
              <w:spacing w:after="0"/>
              <w:rPr>
                <w:sz w:val="17"/>
                <w:szCs w:val="17"/>
                <w:color w:val="auto"/>
              </w:rPr>
            </w:pPr>
          </w:p>
        </w:tc>
        <w:tc>
          <w:tcPr>
            <w:tcW w:w="16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r>
      <w:tr>
        <w:trPr>
          <w:trHeight w:val="238"/>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160" w:type="dxa"/>
            <w:vAlign w:val="bottom"/>
          </w:tcPr>
          <w:p>
            <w:pPr>
              <w:spacing w:after="0"/>
              <w:rPr>
                <w:sz w:val="20"/>
                <w:szCs w:val="20"/>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(Non-current)</w:t>
            </w:r>
          </w:p>
        </w:tc>
        <w:tc>
          <w:tcPr>
            <w:tcW w:w="120" w:type="dxa"/>
            <w:vAlign w:val="bottom"/>
          </w:tcPr>
          <w:p>
            <w:pPr>
              <w:spacing w:after="0"/>
              <w:rPr>
                <w:sz w:val="20"/>
                <w:szCs w:val="20"/>
                <w:color w:val="auto"/>
              </w:rPr>
            </w:pPr>
          </w:p>
        </w:tc>
        <w:tc>
          <w:tcPr>
            <w:tcW w:w="16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(Current)</w:t>
            </w:r>
          </w:p>
        </w:tc>
      </w:tr>
      <w:tr>
        <w:trPr>
          <w:trHeight w:val="17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r>
      <w:tr>
        <w:trPr>
          <w:trHeight w:val="238"/>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12/31/2025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7"/>
              </w:rPr>
              <w:t>2.9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7"/>
              </w:rPr>
              <w:t>1.3</w:t>
            </w: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3/31/2026</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48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7"/>
              </w:rPr>
              <w:t>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7"/>
              </w:rPr>
              <w:t>1.0</w:t>
            </w:r>
          </w:p>
        </w:tc>
      </w:tr>
      <w:tr>
        <w:trPr>
          <w:trHeight w:val="24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8"/>
              </w:rPr>
              <w:t>(0.3)</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Our trade receivables are included in trade and other receivables in the condensed consolidated balance sheets. Our non-current contract assets are included in receivables and other deferred charges in the condensed consolidated balance sheets and primarily relate to operations and maintenance costs incurred by Eight Flags that have not yet been recovered through rates for the sale of electricity to our electric distribution operation pursuant to a long-term service agreement.</w:t>
      </w:r>
    </w:p>
    <w:p>
      <w:pPr>
        <w:spacing w:after="0" w:line="9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At times, we receive advances or deposits from our customers before we satisfy our performance obligation, resulting in contract liabilities. Contract liabilities are included in other accrued liabilities in the condensed consolidated balance sheets and relate to non-refundable prepaid fixed fees for our propane distribution operation's retail offerings. Our performance obligation is satisfied over the term of the respective customer retail program on a ratable basis. For the three months ended March 31, 2026 and 2025, the amounts recognized in revenue were not material.</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Certain of our businesses have long-term fixed fee contracts with customers in which revenues are recognized when performance obligations are satisfied over the contract term. Revenue for these businesses for the remaining performance obligations, at March 31, 2026, are expected to be recognized as follows:</w:t>
      </w:r>
    </w:p>
    <w:tbl>
      <w:tblPr>
        <w:tblLayout w:type="fixed"/>
        <w:tblInd w:w="66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90"/>
              <w:spacing w:after="0" w:line="190" w:lineRule="exact"/>
              <w:rPr>
                <w:sz w:val="20"/>
                <w:szCs w:val="20"/>
                <w:color w:val="auto"/>
              </w:rPr>
            </w:pPr>
            <w:r>
              <w:rPr>
                <w:rFonts w:ascii="Times New Roman" w:cs="Times New Roman" w:eastAsia="Times New Roman" w:hAnsi="Times New Roman"/>
                <w:sz w:val="18"/>
                <w:szCs w:val="18"/>
                <w:b w:val="1"/>
                <w:bCs w:val="1"/>
                <w:color w:val="auto"/>
              </w:rPr>
              <w:t>2032 and</w:t>
            </w:r>
          </w:p>
        </w:tc>
        <w:tc>
          <w:tcPr>
            <w:tcW w:w="0" w:type="dxa"/>
            <w:vAlign w:val="bottom"/>
          </w:tcPr>
          <w:p>
            <w:pPr>
              <w:spacing w:after="0"/>
              <w:rPr>
                <w:sz w:val="1"/>
                <w:szCs w:val="1"/>
                <w:color w:val="auto"/>
              </w:rPr>
            </w:pPr>
          </w:p>
        </w:tc>
      </w:tr>
      <w:tr>
        <w:trPr>
          <w:trHeight w:val="238"/>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thereafter</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 Shore and Peninsula Pipeline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distribution operations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FPU electric distribution</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300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revenue contracts with remaining</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obligations</w:t>
            </w:r>
          </w:p>
        </w:tc>
        <w:tc>
          <w:tcPr>
            <w:tcW w:w="18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Rates and Other Regulatory Activities</w:t>
      </w:r>
    </w:p>
    <w:p>
      <w:pPr>
        <w:spacing w:after="0" w:line="17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Our natural gas and electric distribution operations in Delaware, Maryland and Florida are subject to regulation by their respective PSC; Eastern Shore, our natural gas transmission subsidiary, is subject to regulation by the FERC; and Peninsula Pipeline and Aspire Energy Express, our intrastate pipeline subsidiaries, are subject to regulation (excluding cost of service) by the Florida PSC and Public Utilities Commission of Ohio, respectively.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Delaware</w:t>
      </w:r>
    </w:p>
    <w:p>
      <w:pPr>
        <w:spacing w:after="0" w:line="25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Delaware Natural Gas Rate Case: </w:t>
      </w:r>
      <w:r>
        <w:rPr>
          <w:rFonts w:ascii="Times New Roman" w:cs="Times New Roman" w:eastAsia="Times New Roman" w:hAnsi="Times New Roman"/>
          <w:sz w:val="18"/>
          <w:szCs w:val="18"/>
          <w:color w:val="auto"/>
        </w:rPr>
        <w:t>In August 2024, our Delaware natural gas division filed an application for a natural gas rate case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PSC. In connection with the application we sought approval of the following: (i) permanent rate relief of approximately $12.1 million with a ROE of 11.5 percent; (ii) proposed changes to depreciation rates which were part of a depreciation study also submitted with the filing; and</w:t>
      </w:r>
    </w:p>
    <w:p>
      <w:pPr>
        <w:spacing w:after="0" w:line="1" w:lineRule="exact"/>
        <w:rPr>
          <w:sz w:val="20"/>
          <w:szCs w:val="20"/>
          <w:color w:val="auto"/>
        </w:rPr>
      </w:pPr>
    </w:p>
    <w:p>
      <w:pPr>
        <w:jc w:val="both"/>
        <w:ind w:left="660" w:hanging="4"/>
        <w:spacing w:after="0" w:line="253" w:lineRule="auto"/>
        <w:tabs>
          <w:tab w:leader="none" w:pos="98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make certain changes to tariffs. Annualized interim rates were approved by the Delaware PSC in the amount of $2.5 million and became effective in October 2024. A settlement among all interested parties was reached and approved by the Delaware PSC in June 2025 providing an annual revenue increase of $6.1 million, as well as dividing the rate case into two phases. Rates set to recover the approved components of the increase were effective in March 2025 and approved tariff-related changes including rate design were effective as of October 15, 2025.</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Maryland</w:t>
      </w:r>
    </w:p>
    <w:p>
      <w:pPr>
        <w:spacing w:after="0" w:line="254"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Maryland Natural Gas Rate Case: </w:t>
      </w:r>
      <w:r>
        <w:rPr>
          <w:rFonts w:ascii="Times New Roman" w:cs="Times New Roman" w:eastAsia="Times New Roman" w:hAnsi="Times New Roman"/>
          <w:sz w:val="18"/>
          <w:szCs w:val="18"/>
          <w:color w:val="auto"/>
        </w:rPr>
        <w:t>In January 2024, our natural gas distribution businesses in Maryland, CUC-Maryland Division, Sandpiper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Inc., and Elkton Gas Company (collectively, the “Maryland natural gas distribution businesses”), filed a joint application for a natural gas rate case with the Maryland PSC. In connection with the application, we sought approval of the following: (i) permanent rate relief of approximately $6.9 million with a ROE of 11.5 percent; (ii) authorization to make certain changes to tariffs to include a unified rate structure and to consolidate the Maryland natural gas distribution businesses; and (iii) authorization to establish a rider for recovery of the costs associated with our new technology systems. In September 2024, the Maryland Public Utility Judge approved a $2.6 million increase in annual base rates, which was followed by the Company submitting a Phase II filing in November 2024 to determine rate design across the Maryland natural gas distribution businesses, consolidation of the applicable tariffs and recovery of technology costs. In March 2025 the Phase II was approved, including an additional $0.9 million in revenue requirement, for a total cumulative increase of $3.5 million. A final order was issued in April 2025 and included approval of the consolidation of the operations and the assets of CUC-Maryland Division, Sandpiper Energy, and Elkton Gas into one entity, which was renamed and operates as Chesapeake Utilities of Maryland, Inc.</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Florida</w:t>
      </w:r>
    </w:p>
    <w:p>
      <w:pPr>
        <w:spacing w:after="0" w:line="254"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Wildlight Expansion: </w:t>
      </w:r>
      <w:r>
        <w:rPr>
          <w:rFonts w:ascii="Times New Roman" w:cs="Times New Roman" w:eastAsia="Times New Roman" w:hAnsi="Times New Roman"/>
          <w:sz w:val="18"/>
          <w:szCs w:val="18"/>
          <w:color w:val="auto"/>
        </w:rPr>
        <w:t>In August 2022, Peninsula Pipeline and FPU filed a joint petition with the Florida PSC for approval of its Transportation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Agreement associated with the Wildlight planned community located in Nassau County, Florida. The petition was approved by the Florida PSC in November 2022. The project enables us to meet the significant growing demand for service in Yulee, Florida, and to construct the project during the build-out of the community and charge the reservation rate as each phase of the project goes into service. Construction of the pipeline facilities will occur in two separate phases. Phase one consists of three extensions with associated facilities, and a gas injection interconnect with associated facilities. Phase two will consist of two additional pipeline extensions. The various phases of the project commenced in the first quarter of 2023, and construction was completed in 2025.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FCG Natural Gas Rate Case: </w:t>
      </w:r>
      <w:r>
        <w:rPr>
          <w:rFonts w:ascii="Times New Roman" w:cs="Times New Roman" w:eastAsia="Times New Roman" w:hAnsi="Times New Roman"/>
          <w:sz w:val="18"/>
          <w:szCs w:val="18"/>
          <w:color w:val="auto"/>
        </w:rPr>
        <w:t>In May 2022, FCG filed a general base rate increase with the Florida PSC based on a projected 2023 test year.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2023, the Florida PSC issued an order approving a single total base revenue increase of $23.3 million (which included an incremental increase of $14.1 million, a previously approved increase of $3.8 million for a liquefied natural gas facility, and $5.3 million to transfer the SAFE investments from a rider clause to base rates), with new rates becoming effective as of May 1, 2023. The Florida PSC also approved FCG's proposed RSAM with a $25.0 million reserve amount, continuation and expansion of the capital SAFE program, implementation of an automated metering infrastructure pilot, and continuation of the storm damage reserve with a target reserve of $0.8 million. The Florida OPC filed a notice of appeal with the Florida Supreme Court in July 2023, which is pending. The Florida OPC filed their initial brief in January 2024 with answer briefs filed in April 2024. Oral arguments in the case were held in December 2024. The Florida Supreme Court has yet to rule on the case.</w:t>
      </w:r>
    </w:p>
    <w:p>
      <w:pPr>
        <w:spacing w:after="0" w:line="7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RSAM was recorded as either an increase or decrease to accrued removal costs which is reflected on the Company’s balance sheets and a corresponding increase or decrease to depreciation and amortization expense. In order to earn the targeted regulatory ROE in each reporting period subject to the conditions of the effective rate agreement, RSAM was calculated using a trailing thirteen-month average of rate base and capital structure in conjunction with the trailing twelve month regulatory base net operating income, which primarily included the base portion of rates and other revenues, net of operations and maintenance expenses, depreciation and amortization, interest and tax expenses. In general, the net impact of these income statement line items was adjusted, in part, by RSAM or its reversal to earn the targeted regulatory ROE. At December 31, 2024, the RSAM reserve was completely utilized.</w:t>
      </w:r>
    </w:p>
    <w:p>
      <w:pPr>
        <w:spacing w:after="0" w:line="119"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FCG Depreciation Study: </w:t>
      </w:r>
      <w:r>
        <w:rPr>
          <w:rFonts w:ascii="Times New Roman" w:cs="Times New Roman" w:eastAsia="Times New Roman" w:hAnsi="Times New Roman"/>
          <w:sz w:val="18"/>
          <w:szCs w:val="18"/>
          <w:color w:val="auto"/>
        </w:rPr>
        <w:t>In February 2025, FCG filed a depreciation study with the Florida PSC. The application is requesting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revised annual depreciation rates, as well as a reduction related to a reserve imbalance that would be amortized over a two-year period. In February 2026, the Florida PSC approved a $6.8 million reserve imbalance to be amortized over the remaining life of the assets.</w:t>
      </w:r>
    </w:p>
    <w:p>
      <w:pPr>
        <w:spacing w:after="0" w:line="200"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i w:val="1"/>
          <w:iCs w:val="1"/>
          <w:color w:val="auto"/>
        </w:rPr>
        <w:t>Florida City Gas Rate Case</w:t>
      </w:r>
      <w:r>
        <w:rPr>
          <w:rFonts w:ascii="Times New Roman" w:cs="Times New Roman" w:eastAsia="Times New Roman" w:hAnsi="Times New Roman"/>
          <w:sz w:val="18"/>
          <w:szCs w:val="18"/>
          <w:color w:val="auto"/>
        </w:rPr>
        <w:t>: In April 2026, FCG filed a petition with the Florida PSC. In connection with the application, we are seeking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following: (i) interim rate relief of approximately $16.2 million, subject to refund, pending the outcome of the rate case proceeding; (ii) general base rate increase of $46.9 million with a ROE of 11.25 percent based on a 2027 projected test year; (iii) reclassification of approximately $16.4 million in the existing SAFE program revenues from surcharge recovery to base rates; (iv) authorization to retain the unamortized portion of the previously approved acquisition adjustment; and (v) further implementation of the advanced metering infrastructure (“AMI”). The outcome of the application will be subject to review and approval by the Florida PSC.</w:t>
      </w:r>
    </w:p>
    <w:p>
      <w:pPr>
        <w:spacing w:after="0" w:line="209"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i w:val="1"/>
          <w:iCs w:val="1"/>
          <w:color w:val="auto"/>
        </w:rPr>
        <w:t>FCG SAFE Program</w:t>
      </w:r>
      <w:r>
        <w:rPr>
          <w:rFonts w:ascii="Times New Roman" w:cs="Times New Roman" w:eastAsia="Times New Roman" w:hAnsi="Times New Roman"/>
          <w:sz w:val="18"/>
          <w:szCs w:val="18"/>
          <w:color w:val="auto"/>
        </w:rPr>
        <w:t>: In June 2023, the Florida PSC issued the approval order for the continuation of the SAFE program beyond its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expiration date and inclusion of 150 miles of additional mains and services located in rear property easements. The SAFE program is designed to relocate certain mains and facilities associated with rear lot easements to street front locations to improve FCG's ability to inspect and maintain the facilities and reduce opportunities for damage and theft. In the same order, the Florida PSC approved a replacement of 160 miles of pipe that was used in the 1970s and 1980s and shown through industry research to exhibit premature failure in the form of cracking. The program includes projected capital expenditures of $205.0 million over a 10-year period.</w:t>
      </w:r>
    </w:p>
    <w:p>
      <w:pPr>
        <w:spacing w:after="0" w:line="21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April 2024, FCG filed a petition with the Florida PSC to more closely align the SAFE Program with FPU's GUARD program. Specifically, the requested modifications enable FCG to accelerate remediation related to problematic pipe and facilities consisting of obsolete and exposed pipe. These modifications will improve the safety and reliability of service to FCG's customers and result in an estimated additional $50.0 million in capital expenditures associated with the SAFE Program, increasing the total projected capital expenditures to approximately $255.0 million over a 10-year period. The Florida PSC approved the modifications in September 2024.</w:t>
      </w:r>
    </w:p>
    <w:p>
      <w:pPr>
        <w:spacing w:after="0" w:line="208"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i w:val="1"/>
          <w:iCs w:val="1"/>
          <w:color w:val="auto"/>
        </w:rPr>
        <w:t>GUARD Program</w:t>
      </w:r>
      <w:r>
        <w:rPr>
          <w:rFonts w:ascii="Times New Roman" w:cs="Times New Roman" w:eastAsia="Times New Roman" w:hAnsi="Times New Roman"/>
          <w:sz w:val="18"/>
          <w:szCs w:val="18"/>
          <w:color w:val="auto"/>
        </w:rPr>
        <w:t>: In February 2023, FPU filed a petition with the Florida PSC for approval of the GUARD program. GUARD is a ten-year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to enhance the safety, reliability, and accessibility of portions of our natural gas distribution system. We identified various categories of projects to be included in GUARD, which include the relocation of mains and service lines located in rear easements and other difficult to access areas to the front of the street, the replacement of problematic distribution mains, service lines, and maintenance and repair equipment and system reliability projects. In August 2023, the Florida PSC approved the GUARD program, which included $205.0 million of capital expenditures projected to be spent over a 10-year period.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Florida Mandatory Relocates</w:t>
      </w:r>
      <w:r>
        <w:rPr>
          <w:rFonts w:ascii="Times New Roman" w:cs="Times New Roman" w:eastAsia="Times New Roman" w:hAnsi="Times New Roman"/>
          <w:sz w:val="18"/>
          <w:szCs w:val="18"/>
          <w:color w:val="auto"/>
        </w:rPr>
        <w:t>: In October 2025, FPU and FCG filed a joint petition for approval to establish a recovery surcharge for 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and projected relocation costs pursuant to the Florida Administrative Code which enables companies to recover the costs associated with relocating or reconstructing facilities that have been required by governmental entities. The projected revenue requirement for 2026 is $0.5 million for FPU and $1.0 million for FCG. The Florida PSC approved the petition in February 2026, with the surcharge effective in March 2026.</w:t>
      </w:r>
    </w:p>
    <w:p>
      <w:pPr>
        <w:spacing w:after="0" w:line="24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Storm Protection Plan: </w:t>
      </w:r>
      <w:r>
        <w:rPr>
          <w:rFonts w:ascii="Times New Roman" w:cs="Times New Roman" w:eastAsia="Times New Roman" w:hAnsi="Times New Roman"/>
          <w:sz w:val="18"/>
          <w:szCs w:val="18"/>
          <w:color w:val="auto"/>
        </w:rPr>
        <w:t>In 2020, the Florida PSC implemented the Storm Protection Plan ("SPP") and Storm Protection Plan Cost Recovery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Clause ("SPPCRC") rules, which require electric utilities to petition the Florida PSC for approval of a Transmission and Distribution Storm Protection Plan that covers the utility’s immediate 10-year planning period with updates to the plan at least every 3 years. The SPPCRC rules allow the utility to file for recovery of associated costs for the SPP. Our Florida electric distribution operation’s initial SPP plan was filed and approved in 2022, with modifications, by the Florida PSC. Rates associated with this initiative were effective in January 2023. In October 2024, the Florida PSC approved the Company's projected 2025 SPP costs of $20.4 million for both capital and operating expenses. Our Florida electric distribution operations filed an updated SPP plan in January 2025 which was approved in June 2025, with modifications by the Florida PSC.</w:t>
      </w:r>
    </w:p>
    <w:p>
      <w:pPr>
        <w:spacing w:after="0" w:line="21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i w:val="1"/>
          <w:iCs w:val="1"/>
          <w:color w:val="auto"/>
        </w:rPr>
        <w:t>FPU Electric Rate Case</w:t>
      </w:r>
      <w:r>
        <w:rPr>
          <w:rFonts w:ascii="Times New Roman" w:cs="Times New Roman" w:eastAsia="Times New Roman" w:hAnsi="Times New Roman"/>
          <w:sz w:val="18"/>
          <w:szCs w:val="18"/>
          <w:color w:val="auto"/>
        </w:rPr>
        <w:t>: In August 2024, our Florida Electric division filed a petition with the Florida PSC seeking a general base rate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$12.6 million with a ROE of 11.3 percent based on a 2025 projected test year. Annualized interim rates of approximately $1.8 million were approved with an effective date of November 1, 2024. In March 2025, the Florida PSC approved the permanent rate increase, but the order was subsequently protested. In May 2025, the Company reached a settlement agreement with the interested parties. This settlement which was approved by the Florida PSC in July 2025, provided for a total revenue increase of approximately $8.6 million on an annual basis, with $1.0 million of the increase deferred from the first year's base rate increase and recovered over three years. A step-up rate increase was also approved for up to $0.7 million, upon completion of the purchase and refurbishment of certain substations, which is expected to be completed in December 2026.</w:t>
      </w:r>
    </w:p>
    <w:p>
      <w:pPr>
        <w:spacing w:after="0" w:line="212"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i w:val="1"/>
          <w:iCs w:val="1"/>
          <w:color w:val="auto"/>
        </w:rPr>
        <w:t>Newberry Expansion</w:t>
      </w:r>
      <w:r>
        <w:rPr>
          <w:rFonts w:ascii="Times New Roman" w:cs="Times New Roman" w:eastAsia="Times New Roman" w:hAnsi="Times New Roman"/>
          <w:sz w:val="18"/>
          <w:szCs w:val="18"/>
          <w:color w:val="auto"/>
        </w:rPr>
        <w:t>: In April 2023, Peninsula Pipeline filed a petition with the Florida PSC for approval of its Transportation Service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FPU for an additional 8,000 Dts/d of firm service in the Newberry, Florida area. The petition was approved by the Florida PSC in the third quarter of 2023. Peninsula Pipeline will construct a pipeline extension, which will be used by FPU to support the development of a natural gas distribution system to provide gas service to the City of Newberry. A filing to address the acquisition and conversion of existing Company owned propane community gas systems in Newberry was made in November 2023. The Florida PSC approved it in April 2024. Conversions of the community gas systems commenced in the second quarter of 2024 and are projected to be complete in the second quarter of 2026.</w:t>
      </w:r>
    </w:p>
    <w:p>
      <w:pPr>
        <w:spacing w:after="0" w:line="209"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East Coast Reinforcement Projects: </w:t>
      </w:r>
      <w:r>
        <w:rPr>
          <w:rFonts w:ascii="Times New Roman" w:cs="Times New Roman" w:eastAsia="Times New Roman" w:hAnsi="Times New Roman"/>
          <w:sz w:val="18"/>
          <w:szCs w:val="18"/>
          <w:color w:val="auto"/>
        </w:rPr>
        <w:t>In December 2023, Peninsula Pipeline filed a petition with the Florida PSC for approval of its Transportation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Agreements with FPU for projects that will provide additional supply to coastal communities on the East Coast of Florida, which are experiencing significant population growth. Peninsula Pipeline proposed several pipeline extensions to support FPU’s distribution system in the areas of Boynton Beach and New Smyrna Beach with an additional 15,000 Dts/d and 3,400 Dts/d, respectively. The Florida PSC approved the projects in March 2024. New Smyrna Beach was placed into service during May 2025 and construction is projected to be complete for Boynton Beach in the second quarter of 2026.</w:t>
      </w:r>
    </w:p>
    <w:p>
      <w:pPr>
        <w:spacing w:after="0" w:line="20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i w:val="1"/>
          <w:iCs w:val="1"/>
          <w:color w:val="auto"/>
        </w:rPr>
        <w:t>Central Florida Reinforcement Projects</w:t>
      </w:r>
      <w:r>
        <w:rPr>
          <w:rFonts w:ascii="Times New Roman" w:cs="Times New Roman" w:eastAsia="Times New Roman" w:hAnsi="Times New Roman"/>
          <w:sz w:val="18"/>
          <w:szCs w:val="18"/>
          <w:color w:val="auto"/>
        </w:rPr>
        <w:t>: In February 2024, Peninsula Pipeline filed a petition with the Florida PSC for approval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Service Agreements with FPU for projects that will support additional supply to communities located in Central Florida which are also experiencing significant population growth. Peninsula Pipeline's extensions support FPU’s distribution system around the Plant City and Lake Mattie areas of Florida with an additional 5,000 Dts/d and 8,700 Dts/d, respectively. The Florida PSC approved the projects in March 2024. The Plant City project was completed in the fourth quarter of 2024, and the Lake Mattie project went into service in July 2025.</w:t>
      </w:r>
    </w:p>
    <w:p>
      <w:pPr>
        <w:spacing w:after="0" w:line="21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i w:val="1"/>
          <w:iCs w:val="1"/>
          <w:color w:val="auto"/>
        </w:rPr>
        <w:t>Renewable Natural Gas Supply Projects</w:t>
      </w:r>
      <w:r>
        <w:rPr>
          <w:rFonts w:ascii="Times New Roman" w:cs="Times New Roman" w:eastAsia="Times New Roman" w:hAnsi="Times New Roman"/>
          <w:sz w:val="18"/>
          <w:szCs w:val="18"/>
          <w:color w:val="auto"/>
        </w:rPr>
        <w:t>: In February 2024, Peninsula Pipeline filed a petition with the Florida PSC for approval of Transportation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Agreements with FCG for projects that will support the transportation of additional renewable energy supply to FCG. The projects, located in Florida’s Brevard, Indian River and Miami-Dade counties, will bring renewable natural gas produced from local landfills into FCG’s natural gas distribution system. Peninsula Pipeline will construct several pipeline extensions which will support FCG's distribution system in Brevard County, Indian River County, and Miami-Dade County. Benefits of these projects include increased gas supply to serve expected FCG growth, strengthened system reliability and additional system flexibility. The Florida PSC approved the petition at its July 2024 meeting. In October 2025, the Florida PSC approved amendments to the Transportation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Service Agreements that were filed to include Peninsula Pipeline as a party to the related interconnection agreements. The projects are underway and are estimated to be completed in the second half of 2026.</w:t>
      </w:r>
    </w:p>
    <w:p>
      <w:pPr>
        <w:spacing w:after="0" w:line="18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i w:val="1"/>
          <w:iCs w:val="1"/>
          <w:color w:val="auto"/>
        </w:rPr>
        <w:t>St. Cloud Project Amendment</w:t>
      </w:r>
      <w:r>
        <w:rPr>
          <w:rFonts w:ascii="Times New Roman" w:cs="Times New Roman" w:eastAsia="Times New Roman" w:hAnsi="Times New Roman"/>
          <w:sz w:val="18"/>
          <w:szCs w:val="18"/>
          <w:color w:val="auto"/>
        </w:rPr>
        <w:t>: In February 2024, Peninsula Pipeline filed a petition with the Florida PSC for approval of an amendment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Service Agreement with FPU for a project that will support additional supply to communities in the St. Cloud, Florida area. The project is driven by the need to expand gas service to future communities that are expected in that area. Peninsula Pipeline will construct pipeline expansions that will allow FPU to serve the expected new growth. The expansion will provide FPU with an additional 10,000 Dts/d. The Florida PSC approved the project in May 2024, and it is expected to be complete in the second quarter of 2026.</w:t>
      </w:r>
    </w:p>
    <w:p>
      <w:pPr>
        <w:spacing w:after="0" w:line="21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Miami Inner Loop Pipeline Projects: </w:t>
      </w:r>
      <w:r>
        <w:rPr>
          <w:rFonts w:ascii="Times New Roman" w:cs="Times New Roman" w:eastAsia="Times New Roman" w:hAnsi="Times New Roman"/>
          <w:sz w:val="18"/>
          <w:szCs w:val="18"/>
          <w:color w:val="auto"/>
        </w:rPr>
        <w:t>In September 2024, Peninsula Pipeline filed a petition with the Florida PSC for approval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Service Agreement with FCG for a series of projects that will enhance the infrastructure in Miami-Dade County. The proposed expansion consists of the development of several pipeline projects to support growth and FCG's distribution system in the area, as well as enhance FCG's access to gas from various points in the Miami-Dade County area. The expansion was approved in February 2025 and interim services began in August 2025 with permanent facilities expected to be in service by the second quarter of 2026.</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Eastern Shore</w:t>
      </w:r>
    </w:p>
    <w:p>
      <w:pPr>
        <w:spacing w:after="0" w:line="25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Worcester Resiliency Upgrade: </w:t>
      </w:r>
      <w:r>
        <w:rPr>
          <w:rFonts w:ascii="Times New Roman" w:cs="Times New Roman" w:eastAsia="Times New Roman" w:hAnsi="Times New Roman"/>
          <w:sz w:val="18"/>
          <w:szCs w:val="18"/>
          <w:color w:val="auto"/>
        </w:rPr>
        <w:t>In August 2023, Eastern Shore filed an application with the FERC requesting authorization to construct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Worcester Resiliency Upgrade, which consists of a mixture of storage and transmission facilities in Sussex County, Delaware and Wicomico, Worcester, and Somerset Counties in Maryland. The project will provide long-term incremental supply necessary to support the growing demand of the participating shippers. In January 2025, the FERC approved the project.</w:t>
      </w:r>
    </w:p>
    <w:p>
      <w:pPr>
        <w:spacing w:after="0" w:line="128"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June 2025, Eastern Shore filed a limited amended application with the FERC requesting revised initial transportation rates for the project. The revised rates reflected increased capital costs associated with unanticipated changes in global markets and supply chains, including the availability of skilled laborers with the requisite certifications to work on this project. Eastern Shore requested expedited action by the FERC in relation to this matter and an approved order was issued in July 2025. Construction commenced shortly after approval and is well underway. The weather during the first quarter resulted in several brief slowdowns which had a cumulative impact on the overall timeline. Project construction and commissioning are expected to be complete in the latter part of the year with the FERC approval process to immediately follow. The Company expects to receive full approval for in-service of the facility by the beginning of 2027.</w:t>
      </w:r>
    </w:p>
    <w:p>
      <w:pPr>
        <w:spacing w:after="0" w:line="13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Salisbury Integrity Project: </w:t>
      </w:r>
      <w:r>
        <w:rPr>
          <w:rFonts w:ascii="Times New Roman" w:cs="Times New Roman" w:eastAsia="Times New Roman" w:hAnsi="Times New Roman"/>
          <w:sz w:val="18"/>
          <w:szCs w:val="18"/>
          <w:color w:val="auto"/>
        </w:rPr>
        <w:t>Eastern Shore submitted a Prior Notice Filing under its Blanket Certificate to the FERC in March 2025 requesting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 own, operate, and maintain approximately 5.5 miles of 10-inch looping pipeline in Wicomico County, Maryland. The protest period terminated in May 2025 with no protests filed. The project is necessary to comply with pipeline integrity management regulations of the Pipeline and Hazardous Materials Safety Administration ("PHMSA"). The project went into service in October 2025.</w:t>
      </w:r>
    </w:p>
    <w:p>
      <w:pPr>
        <w:spacing w:after="0" w:line="11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Capital Cost Surcharge: </w:t>
      </w:r>
      <w:r>
        <w:rPr>
          <w:rFonts w:ascii="Times New Roman" w:cs="Times New Roman" w:eastAsia="Times New Roman" w:hAnsi="Times New Roman"/>
          <w:sz w:val="18"/>
          <w:szCs w:val="18"/>
          <w:color w:val="0C0C0C"/>
        </w:rPr>
        <w:t>In December 2025, Eastern Shore submitted a filing with the FERC regarding a capital cost surcharge to recover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0C0C0C"/>
        </w:rPr>
        <w:t>costs associated with the replacement of existing Eastern Shore facilities because of mandated highway relocation projects as well as compliance with PHMSA regulation. The capital cost surcharge mechanism was approved in Eastern Shore's last rate case. In conjunction with the filing of this surcharge, a cumulative adjustment to the existing surcharge to reflect additional depreciation was included. The FERC issued an order approving the surcharge as filed in December 2025. The combined revised surcharge became effective January 1, 2026.</w:t>
      </w:r>
    </w:p>
    <w:p>
      <w:pPr>
        <w:spacing w:after="0" w:line="13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March 2026, Eastern Shore submitted an annual true-up filing with the FERC regarding a capital cost surcharge to recover capital costs associated with the replacement of existing Eastern Shore facilities because of mandated highway relocation projects as well as compliance with a PHMSA regulation. The capital cost surcharge mechanism was approved in Eastern Shore's last rate case. There was a slight decrease to the revenue requirement of the currently effective surcharge as a result of the true-up. The FERC issued an order approving the surcharge as filed effective April 1, 2026.</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0C0C0C"/>
        </w:rPr>
        <w:t>TCJA</w:t>
      </w:r>
    </w:p>
    <w:p>
      <w:pPr>
        <w:spacing w:after="0" w:line="25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In connection with the TCJA, which was signed into law in December 2017, customer rates for our regulated businesses were adjusted as approved by the regulators. Regulatory liabilities related to accumulated deferred income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taxes (“ADIT”) associated with the TCJA amounted to $83.1 million and $83.4 million at March 31, 2026 and December 31, 2025, respectively. With the exception of the ADIT balance of $34.2 million attributable to Eastern Shore, such amounts are being amortized in accordance with approvals received from the Delaware, Maryland, and Florida PSCs in 2018 and 2019. The ADIT balance attributable to Eastern Shore will be addressed in its next rate case filing.</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Environmental Commitments and Contingencies</w:t>
      </w:r>
    </w:p>
    <w:p>
      <w:pPr>
        <w:spacing w:after="0" w:line="31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We are subject to federal, state and local laws and regulations governing environmental quality and pollution control. These laws and regulations require us to remove or remediate, at current and former operating sites, the effect on the environment of the disposal or release of specified substances.</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MGP Sites</w:t>
      </w:r>
    </w:p>
    <w:p>
      <w:pPr>
        <w:spacing w:after="0" w:line="11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We have participated in the investigation, assessment or remediation of, and have exposures at, seven former MGP sites. We have received approval for recovery of clean-up costs in rates for sites located in Salisbury, Maryland; Seaford, Delaware; and Winter Haven, Key West, Pensacola, Sanford and West Palm Beach, Florida.</w:t>
      </w:r>
    </w:p>
    <w:p>
      <w:pPr>
        <w:spacing w:after="0" w:line="68"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we had approximately $3.3 million and $3.1 million, respectively, in environmental liabilities related to the former MGP sites, and related regulatory assets of approximately $0.2 million at the respective balance sheet dates for future recovery of environmental costs from customers.</w:t>
      </w:r>
    </w:p>
    <w:p>
      <w:pPr>
        <w:spacing w:after="0" w:line="6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Environmental liabilities for our MGP sites are recorded on an undiscounted basis based on the estimate of future costs provided by independent consultants. We continue to expect that all costs related to environmental remediation and related activities, including any potential future remediation costs for which we do not currently have approval for regulatory recovery, will be recoverable from customers through rates.</w:t>
      </w:r>
    </w:p>
    <w:p>
      <w:pPr>
        <w:spacing w:after="0" w:line="6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Remediation is ongoing for the MGPs in Winter Haven and Key West, Florida and in Seaford, Delaware. The remaining clean-up costs are estimated to range from $0.3 million to $0.8 million for these three sites. The Environmental Protection Agency has approved a "site-wide ready for anticipated use" status for the Sanford, Florida MGP site, which is the final step before delisting a site. The remaining remediation expenses for the Sanford MGP site are not material.</w:t>
      </w:r>
    </w:p>
    <w:p>
      <w:pPr>
        <w:spacing w:after="0" w:line="7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remedial actions approved by the Florida Department of Environmental Protection have been implemented on the east and west parcels of our West Palm Beach, Florida, site. These properties were sold to another party in December 2025, and no additional costs associated with remediation of the sites are anticipated.</w:t>
      </w:r>
    </w:p>
    <w:p>
      <w:pPr>
        <w:spacing w:after="0" w:line="307"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Commitments and Contingencies</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Natural Gas, Electric and Propane Supply</w:t>
      </w:r>
    </w:p>
    <w:p>
      <w:pPr>
        <w:spacing w:after="0" w:line="94"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In March 2026, our Delmarva Peninsula natural gas distribution operations entered into asset management agreements with a third party to manage their natural gas transportation and storage capacity. The agreements were effective in April 2026 and expire in March 2029.</w:t>
      </w:r>
    </w:p>
    <w:p>
      <w:pPr>
        <w:spacing w:after="0" w:line="10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FPU natural gas distribution operations and Eight Flags have separate asset management agreements with Emera Energy Services, Inc. to manage their natural gas transportation capacity. These agreements commenced in November 2020 and expire in October 2030.</w:t>
      </w:r>
    </w:p>
    <w:p>
      <w:pPr>
        <w:spacing w:after="0" w:line="10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FPU natural gas has firm transportation service contracts with FGT and Gulfstream. Pursuant to a capacity release program approved by the Florida PSC, all of the capacity under these agreements has been released to various third parties. Under the terms of these capacity release agreements, Chesapeake Utilities is contingently liable to FGT and Gulfstream should any party, that acquired the capacity through release, fail to pay the capacity charge. To date, Chesapeake Utilities has not been required to make a payment resulting from this contingency.</w:t>
      </w:r>
    </w:p>
    <w:p>
      <w:pPr>
        <w:spacing w:after="0" w:line="12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FPU’s electric supply contracts require FPU to maintain an acceptable standard of creditworthiness. FPU’s agreement with Florida Power &amp; Light Company requires FPU to meet or exceed a debt service coverage ratio of 1.25 times based on the results of the prior 12 months. If FPU fails to meet this standard, it must provide an Adequate Assurance of Performance which can include an irrevocable letter of credit, a prepayment, a security interest in an asset or a performance bond or guaranty. As of March 31, 2026, FPU was in compliance with all of the requirements of its supply contracts.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Eight Flags provides electricity and steam generation services through its CHP plant located on Amelia Island, Florida. In June 2016, Eight Flags began selling power generated from the CHP plant to FPU pursuant to a 20-year power purchase agreement for distribution to our electric customers. In July 2016, Eight Flags also started selling steam, pursuant to a separate 20-year contract, to the landowner on which the CHP plant is located. The CHP plant is powered by natural gas transported by FPU through its distribution system and Peninsula Pipeline through its intrastate pipeline.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Corporate Guarantees</w:t>
      </w:r>
    </w:p>
    <w:p>
      <w:pPr>
        <w:spacing w:after="0" w:line="12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BOD has authorized us to issue corporate guarantees securing obligations of our subsidiaries and to obtain letters of credit securing our subsidiaries' obligations. The maximum authorized liability under such guarantees and letters of credit as of March 31, 2026 was $81.0 million. The aggregate amount guaranteed related to our subsidiaries at March 31, 2026 was $52.4 million with the guarantees expiring on various dates through March 2027. In addition, the BOD has authorized us to issue specific purpose corporate guarantees. The amount of specific purpose guarantees outstanding at March 31, 2026 was $4.0 million.</w:t>
      </w:r>
    </w:p>
    <w:p>
      <w:pPr>
        <w:spacing w:after="0" w:line="1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 of March 31, 2026, we have issued letters of credit totaling $4.8 million related to various transportation, transmission, capacity and storage agreements as well as our primary insurance carriers. These letters of credit have various expiration dates through October 2026 and to date, none have been used. We do not anticipate that the counterparties will draw upon these letters of credit, and we expect that they will be renewed to the extent necessary in the future.</w:t>
      </w:r>
    </w:p>
    <w:p>
      <w:pPr>
        <w:spacing w:after="0" w:line="13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2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We use the management approach to identify operating segments. We organize our business around differences in regulatory environment and/or products or services, and the operating results of each segment are regularly reviewed by the chief operating decision maker, our President and Chief Executive Officer ("CEO"), in order to make decisions about resources and to assess performance.</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operations are entirely domestic and are comprised of two reportable segments:</w:t>
      </w:r>
    </w:p>
    <w:p>
      <w:pPr>
        <w:spacing w:after="0" w:line="115" w:lineRule="exact"/>
        <w:rPr>
          <w:sz w:val="20"/>
          <w:szCs w:val="20"/>
          <w:color w:val="auto"/>
        </w:rPr>
      </w:pPr>
    </w:p>
    <w:p>
      <w:pPr>
        <w:jc w:val="both"/>
        <w:ind w:left="1300" w:right="20" w:hanging="320"/>
        <w:spacing w:after="0" w:line="267"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Regulated Energy</w:t>
      </w:r>
      <w:r>
        <w:rPr>
          <w:rFonts w:ascii="Times New Roman" w:cs="Times New Roman" w:eastAsia="Times New Roman" w:hAnsi="Times New Roman"/>
          <w:sz w:val="18"/>
          <w:szCs w:val="18"/>
          <w:color w:val="auto"/>
        </w:rPr>
        <w:t>. Includes regulated energy distribution and transmission services (natural gas distribution, natural gas transmission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 distribution operations). All operations in this segment are regulated, as to their rates and services, by the PSC having jurisdiction in each operating territory or by the FERC in the case of Eastern Shore.</w:t>
      </w:r>
    </w:p>
    <w:p>
      <w:pPr>
        <w:spacing w:after="0" w:line="65"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Unregulated Energy. </w:t>
      </w:r>
      <w:r>
        <w:rPr>
          <w:rFonts w:ascii="Times New Roman" w:cs="Times New Roman" w:eastAsia="Times New Roman" w:hAnsi="Times New Roman"/>
          <w:sz w:val="18"/>
          <w:szCs w:val="18"/>
          <w:color w:val="auto"/>
        </w:rPr>
        <w:t>Includes unregulated energy transmission, energy generation (the operations of our Eight Flags' CHP plant),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propane distribution operations, mobile compressed natural gas distribution and pipeline solutions operations, and sustainable energy investments including renewable natural gas-related investments. Also included in this segment are other unregulated energy services, such as energy-related merchandise sales and heating, ventilation and air conditioning, plumbing and electrical services. These operations are unregulated as to their rates and services.</w:t>
      </w:r>
    </w:p>
    <w:p>
      <w:pPr>
        <w:spacing w:after="0" w:line="21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remainder of our operations are presented as “Other Businesses and Eliminations,” which consists of unregulated subsidiaries that own real estate leased to the Company, as well as certain corporate costs not allocated to other operations.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ind w:left="100"/>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information about our reportable segments:</w:t>
      </w:r>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8"/>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912"/>
              <w:spacing w:after="0"/>
              <w:rPr>
                <w:sz w:val="20"/>
                <w:szCs w:val="20"/>
                <w:color w:val="auto"/>
              </w:rPr>
            </w:pPr>
            <w:r>
              <w:rPr>
                <w:rFonts w:ascii="Times New Roman" w:cs="Times New Roman" w:eastAsia="Times New Roman" w:hAnsi="Times New Roman"/>
                <w:sz w:val="18"/>
                <w:szCs w:val="18"/>
                <w:b w:val="1"/>
                <w:bCs w:val="1"/>
                <w:color w:val="auto"/>
                <w:w w:val="94"/>
              </w:rPr>
              <w:t>2026</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1"/>
                <w:szCs w:val="11"/>
                <w:color w:val="auto"/>
              </w:rPr>
            </w:pPr>
          </w:p>
        </w:tc>
        <w:tc>
          <w:tcPr>
            <w:tcW w:w="7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Regulated</w:t>
            </w: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Unregulated</w:t>
            </w:r>
          </w:p>
        </w:tc>
        <w:tc>
          <w:tcPr>
            <w:tcW w:w="180" w:type="dxa"/>
            <w:vAlign w:val="bottom"/>
          </w:tcPr>
          <w:p>
            <w:pPr>
              <w:spacing w:after="0"/>
              <w:rPr>
                <w:sz w:val="11"/>
                <w:szCs w:val="11"/>
                <w:color w:val="auto"/>
              </w:rPr>
            </w:pPr>
          </w:p>
        </w:tc>
        <w:tc>
          <w:tcPr>
            <w:tcW w:w="1180" w:type="dxa"/>
            <w:vAlign w:val="bottom"/>
          </w:tcPr>
          <w:p>
            <w:pPr>
              <w:jc w:val="right"/>
              <w:ind w:right="32"/>
              <w:spacing w:after="0" w:line="129" w:lineRule="exact"/>
              <w:rPr>
                <w:sz w:val="20"/>
                <w:szCs w:val="20"/>
                <w:color w:val="auto"/>
              </w:rPr>
            </w:pPr>
            <w:r>
              <w:rPr>
                <w:rFonts w:ascii="Times New Roman" w:cs="Times New Roman" w:eastAsia="Times New Roman" w:hAnsi="Times New Roman"/>
                <w:sz w:val="14"/>
                <w:szCs w:val="14"/>
                <w:b w:val="1"/>
                <w:bCs w:val="1"/>
                <w:color w:val="auto"/>
              </w:rPr>
              <w:t>Other Businesses</w:t>
            </w:r>
          </w:p>
        </w:tc>
        <w:tc>
          <w:tcPr>
            <w:tcW w:w="18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7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Regulated</w:t>
            </w: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Unregulated</w:t>
            </w:r>
          </w:p>
        </w:tc>
        <w:tc>
          <w:tcPr>
            <w:tcW w:w="1320" w:type="dxa"/>
            <w:vAlign w:val="bottom"/>
            <w:gridSpan w:val="2"/>
          </w:tcPr>
          <w:p>
            <w:pPr>
              <w:jc w:val="right"/>
              <w:ind w:right="10"/>
              <w:spacing w:after="0" w:line="129" w:lineRule="exact"/>
              <w:rPr>
                <w:sz w:val="20"/>
                <w:szCs w:val="20"/>
                <w:color w:val="auto"/>
              </w:rPr>
            </w:pPr>
            <w:r>
              <w:rPr>
                <w:rFonts w:ascii="Times New Roman" w:cs="Times New Roman" w:eastAsia="Times New Roman" w:hAnsi="Times New Roman"/>
                <w:sz w:val="14"/>
                <w:szCs w:val="14"/>
                <w:b w:val="1"/>
                <w:bCs w:val="1"/>
                <w:color w:val="auto"/>
              </w:rPr>
              <w:t>Other Businesses</w:t>
            </w:r>
          </w:p>
        </w:tc>
        <w:tc>
          <w:tcPr>
            <w:tcW w:w="200" w:type="dxa"/>
            <w:vAlign w:val="bottom"/>
          </w:tcPr>
          <w:p>
            <w:pPr>
              <w:spacing w:after="0"/>
              <w:rPr>
                <w:sz w:val="11"/>
                <w:szCs w:val="11"/>
                <w:color w:val="auto"/>
              </w:rPr>
            </w:pPr>
          </w:p>
        </w:tc>
        <w:tc>
          <w:tcPr>
            <w:tcW w:w="70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and Eliminations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32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and Eliminations </w:t>
            </w:r>
            <w:r>
              <w:rPr>
                <w:rFonts w:ascii="Times New Roman" w:cs="Times New Roman" w:eastAsia="Times New Roman" w:hAnsi="Times New Roman"/>
                <w:sz w:val="18"/>
                <w:szCs w:val="18"/>
                <w:b w:val="1"/>
                <w:bCs w:val="1"/>
                <w:color w:val="auto"/>
                <w:vertAlign w:val="superscript"/>
              </w:rPr>
              <w:t>(1)</w:t>
            </w: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revenues, unaffiliated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248.7</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customers</w:t>
            </w:r>
          </w:p>
        </w:tc>
        <w:tc>
          <w:tcPr>
            <w:tcW w:w="120" w:type="dxa"/>
            <w:vAlign w:val="bottom"/>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Intersegment revenues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6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propane and electric costs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(3)</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6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line="20" w:lineRule="exact"/>
              <w:rPr>
                <w:sz w:val="1"/>
                <w:szCs w:val="1"/>
                <w:color w:val="auto"/>
              </w:rPr>
            </w:pPr>
          </w:p>
        </w:tc>
      </w:tr>
      <w:tr>
        <w:trPr>
          <w:trHeight w:val="177"/>
        </w:trPr>
        <w:tc>
          <w:tcPr>
            <w:tcW w:w="3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charges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100" w:hanging="100"/>
        <w:spacing w:after="0"/>
        <w:tabs>
          <w:tab w:leader="none" w:pos="10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revenues and other operating income (loss) amounts are attributable to eliminations and unregulated subsidiaries that own real estate leased to the Company.</w:t>
      </w:r>
    </w:p>
    <w:p>
      <w:pPr>
        <w:ind w:left="100" w:hanging="100"/>
        <w:spacing w:after="0"/>
        <w:tabs>
          <w:tab w:leader="none" w:pos="10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All significant intersegment revenues are billed at market rates and have been eliminated from consolidated revenues.</w:t>
      </w:r>
    </w:p>
    <w:p>
      <w:pPr>
        <w:spacing w:after="0" w:line="11" w:lineRule="exact"/>
        <w:rPr>
          <w:rFonts w:ascii="Times New Roman" w:cs="Times New Roman" w:eastAsia="Times New Roman" w:hAnsi="Times New Roman"/>
          <w:sz w:val="9"/>
          <w:szCs w:val="9"/>
          <w:color w:val="auto"/>
        </w:rPr>
      </w:pPr>
    </w:p>
    <w:p>
      <w:pPr>
        <w:ind w:left="80" w:hanging="80"/>
        <w:spacing w:after="0"/>
        <w:tabs>
          <w:tab w:leader="none" w:pos="8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segment items for each reportable segment include: Regulated - Other taxes and transaction and transition costs related to the integration of FCG; Unregulated - Other taxes.</w:t>
      </w:r>
    </w:p>
    <w:p>
      <w:pPr>
        <w:spacing w:after="0" w:line="286"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29"/>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Regulated Energy segment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3,425.3</w:t>
            </w:r>
          </w:p>
        </w:tc>
      </w:tr>
      <w:tr>
        <w:trPr>
          <w:trHeight w:val="230"/>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Unregulated Energy segment</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r>
      <w:tr>
        <w:trPr>
          <w:trHeight w:val="230"/>
        </w:trPr>
        <w:tc>
          <w:tcPr>
            <w:tcW w:w="7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businesses and eliminations</w:t>
            </w: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3,994.8</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760" w:right="8680" w:hanging="652"/>
        <w:spacing w:after="0" w:line="516" w:lineRule="auto"/>
        <w:tabs>
          <w:tab w:leader="none" w:pos="427"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b w:val="1"/>
          <w:bCs w:val="1"/>
          <w:i w:val="1"/>
          <w:iCs w:val="1"/>
          <w:color w:val="auto"/>
        </w:rPr>
        <w:t>Common Stock Issuances</w:t>
      </w: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We maintain effective shelf registration statements with the SEC for the issuance of common stock in various types of equity offerings, including pursuant to our DRIP/DSPP and ATM program. Depending on our capital needs and subject to market conditions, we may issue additional shares under the direct stock purchase component of the DRIP/DSPP in addition to other possible debt and equity offerings. In November 2024, we established a new ATM program under which we may sell shares of our common stock up to an aggregate offering price of $100.0 million, subject to an effective shelf registration statement. For the three months ended March 31, 2026 and 2025, we received net proceeds of $5.1 million and $19.8 million, respectively, associated with shares issued under the DRIP/DSPP as well as shares issued under our ATM program.</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256"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Defined benefit pension and postretirement plan items, unrealized gains (losses) of our propane swap agreements designated as commodity contract cash flow hedges, and the unrealized gains (losses) of our interest rate swap</w:t>
      </w: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agreements designated as cash flow hedges are the components of our accumulated other comprehensive income (loss). The following tables present the changes in the balances of accumulated other comprehensive income (loss) components for the three months ended March 31, 2026 and 2025. All amounts in the following tables are presented net of tax.</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3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Defined Benefit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0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Pension and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20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Swap</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Postretirement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Cash Flow</w:t>
            </w:r>
          </w:p>
        </w:tc>
        <w:tc>
          <w:tcPr>
            <w:tcW w:w="20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Plan Items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20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59"/>
        </w:trPr>
        <w:tc>
          <w:tcPr>
            <w:tcW w:w="3760" w:type="dxa"/>
            <w:vAlign w:val="bottom"/>
            <w:vMerge w:val="continue"/>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8"/>
              </w:rPr>
              <w:t>(0.5)</w:t>
            </w:r>
          </w:p>
        </w:tc>
        <w:tc>
          <w:tcPr>
            <w:tcW w:w="40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Other comprehensive loss before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7"/>
              </w:rPr>
              <w:t>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reclassifications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7"/>
              </w:rPr>
              <w:t>0.1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loss</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31, 2026</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7"/>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gridSpan w:val="2"/>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8"/>
              </w:rPr>
              <w:t>(0.5)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reclassifications</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0.7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7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loss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7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prior-period other comprehensive income</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March 31, 2025</w:t>
            </w: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Deferred gains or losses for our commodity contract and interest rate swap cash flow hedges are recognized in earnings upon settlement and are included in the effects of gains and losses from derivative instruments. See Note 12,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additional details. Amortization of the net loss related to the defined benefit pension plan and postretirement plans is included in the computation of net periodic cost (benefits). See Note 10, </w:t>
      </w:r>
      <w:r>
        <w:rPr>
          <w:rFonts w:ascii="Times New Roman" w:cs="Times New Roman" w:eastAsia="Times New Roman" w:hAnsi="Times New Roman"/>
          <w:sz w:val="18"/>
          <w:szCs w:val="18"/>
          <w:i w:val="1"/>
          <w:iCs w:val="1"/>
          <w:color w:val="auto"/>
        </w:rPr>
        <w:t>Employee Benefit Plans</w:t>
      </w:r>
      <w:r>
        <w:rPr>
          <w:rFonts w:ascii="Times New Roman" w:cs="Times New Roman" w:eastAsia="Times New Roman" w:hAnsi="Times New Roman"/>
          <w:sz w:val="18"/>
          <w:szCs w:val="18"/>
          <w:color w:val="auto"/>
        </w:rPr>
        <w:t>, for additional details.</w:t>
      </w:r>
    </w:p>
    <w:p>
      <w:pPr>
        <w:spacing w:after="0" w:line="35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1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Net periodic costs for our pension and postretirement benefit plans were not material for the three months ended March 31, 2026 and 2025. In addition, total amounts reclassified from accumulated other comprehensive income (loss) and regulatory assets related to all pension and postretirement benefit plans were not material during the three months ended March 31, 2026 and 2025.</w:t>
      </w:r>
    </w:p>
    <w:p>
      <w:pPr>
        <w:spacing w:after="0" w:line="20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components of our net periodic costs (benefits) have been recorded or reclassified to other expense, net in the condensed consolidated statements of income. Pursuant to their respective regulatory orders, FPU and Chesapeake Utilities continue to record a portion of their unrecognized postretirement benefit costs related to their regulated operations as a regulatory asset. The portion of the unrecognized pension and postretirement benefit costs related to FPU’s unregulated operations and Chesapeake Utilities' operations is recorded to accumulated other comprehensive income (loss).</w:t>
      </w:r>
    </w:p>
    <w:p>
      <w:pPr>
        <w:spacing w:after="0" w:line="1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there were no material contributions to our pension and postretirement plans and we do not expect to contribute to our pension and postretirement plans during 2026. The Chesapeake SERP, the Chesapeake Postretirement Plan and the FPU Medical Plan are unfunded and are expected to be paid out of our general funds. The Company has committed to terminating its FPU pension plan and is actively evaluating alternatives to settle the plan's obligations. As a result, the investment strategy of the plan was adjusted in January 2026 to emphasize capital preservation and asset/liability matching.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Plan</w:t>
      </w:r>
    </w:p>
    <w:p>
      <w:pPr>
        <w:spacing w:after="0" w:line="25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Members of our BOD and officers of the Company are eligible to participate in the Non-Qualified Deferred Compensation Plan. Directors can elect to defer any portion of their cash or stock compensation and officers can defer up to 80 percent of their base compensation, cash bonuses or any amount of their stock bonuses (net of required withholdings). Officers may receive a matching contribution on their cash compensation deferrals up to 6 percent of their compensation, provided it does not duplicate a match they receive in the Retirement Savings Plan.</w:t>
      </w:r>
    </w:p>
    <w:p>
      <w:pPr>
        <w:spacing w:after="0" w:line="22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All obligations arising under the Non-Qualified Deferred Compensation Plan are payable from our general assets, although we have established a Rabbi Trust to informally fund the plan. Deferrals of cash compensation may be invested by the participants in various mutual funds (the same options that are available in the Retirement Savings Plan). The participants are credited with gains or losses on those investments. Assets held in the Rabbi Trust, recorded as Investments on the condensed consolidated balance sheets, had a fair value of $16.4 million and $17.2 million at March 31, 2026 and December 31, 2025, respectively. The assets of the Rabbi Trust are at all times subject to the claims of our general creditors.</w:t>
      </w:r>
    </w:p>
    <w:p>
      <w:pPr>
        <w:spacing w:after="0" w:line="125" w:lineRule="exact"/>
        <w:rPr>
          <w:sz w:val="20"/>
          <w:szCs w:val="20"/>
          <w:color w:val="auto"/>
        </w:rPr>
      </w:pPr>
    </w:p>
    <w:p>
      <w:pPr>
        <w:ind w:left="400" w:hanging="392"/>
        <w:spacing w:after="0"/>
        <w:tabs>
          <w:tab w:leader="none" w:pos="4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9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Our key employees and non-employee directors have been granted share-based awards through our SICP, which has awards outstanding under the current 2023 plan. We record these share-based awards as compensation costs over the respective service period for which services are received in exchange for an award of equity or equity-based compensation. The compensation cost is based primarily on the fair value of the shares awarded, using the estimated fair value of each share on the date it was granted, and the number of shares to be issued at the end of the service period.</w:t>
      </w:r>
    </w:p>
    <w:p>
      <w:pPr>
        <w:spacing w:after="0" w:line="7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table below presents the amounts included in net income related to share-based compensation expense for the three months ended March 31, 2026 and 2025:</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860" w:type="dxa"/>
            <w:vAlign w:val="bottom"/>
          </w:tcPr>
          <w:p>
            <w:pPr>
              <w:spacing w:after="0"/>
              <w:rPr>
                <w:sz w:val="19"/>
                <w:szCs w:val="19"/>
                <w:color w:val="auto"/>
              </w:rPr>
            </w:pPr>
          </w:p>
        </w:tc>
        <w:tc>
          <w:tcPr>
            <w:tcW w:w="25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9"/>
                <w:szCs w:val="19"/>
                <w:color w:val="auto"/>
              </w:rPr>
            </w:pPr>
          </w:p>
        </w:tc>
      </w:tr>
      <w:tr>
        <w:trPr>
          <w:trHeight w:val="238"/>
        </w:trPr>
        <w:tc>
          <w:tcPr>
            <w:tcW w:w="68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40" w:type="dxa"/>
            <w:vAlign w:val="bottom"/>
            <w:tcBorders>
              <w:bottom w:val="single" w:sz="8" w:color="auto"/>
            </w:tcBorders>
          </w:tcPr>
          <w:p>
            <w:pPr>
              <w:spacing w:after="0"/>
              <w:rPr>
                <w:sz w:val="20"/>
                <w:szCs w:val="20"/>
                <w:color w:val="auto"/>
              </w:rPr>
            </w:pPr>
          </w:p>
        </w:tc>
      </w:tr>
      <w:tr>
        <w:trPr>
          <w:trHeight w:val="223"/>
        </w:trPr>
        <w:tc>
          <w:tcPr>
            <w:tcW w:w="68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9"/>
                <w:szCs w:val="19"/>
                <w:color w:val="auto"/>
              </w:rPr>
            </w:pPr>
          </w:p>
        </w:tc>
      </w:tr>
      <w:tr>
        <w:trPr>
          <w:trHeight w:val="17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3"/>
        </w:trPr>
        <w:tc>
          <w:tcPr>
            <w:tcW w:w="6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key employees</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3.3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Awards to non-employee directors</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0.2</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tax benefit</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(0.9)</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(0.6)</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amounts included in net income</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Officers and Key Employees</w:t>
      </w:r>
    </w:p>
    <w:p>
      <w:pPr>
        <w:spacing w:after="0" w:line="10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Our Compensation Committee is authorized to grant our key employees the right to receive awards of shares of our common stock contingent upon the achievement of established performance goals and subject to SEC transfer restrictions once awarded. Our President and CEO has the right to issue awards of shares of our common stock to other officers and key employees of the Company contingent upon various performance goals and subject to SEC transfer restrictions.</w:t>
      </w:r>
    </w:p>
    <w:p>
      <w:pPr>
        <w:spacing w:after="0" w:line="20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We currently have several outstanding multi-year performance awards, which are generally based upon the successful achievement of long-term goals, growth and financial results and comprise both market-based and performance-based conditions and targets. The fair value per share, tied to a performance-based condition or target, is equal to the market price per share on the grant date. For the market-based conditions, we used the Monte Carlo valuation to estimate the fair value of each share granted.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summary of the stock activity for awards to key employees for the three months ended March 31, 2026:</w:t>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5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40" w:type="dxa"/>
            <w:vAlign w:val="bottom"/>
          </w:tcPr>
          <w:p>
            <w:pPr>
              <w:spacing w:after="0"/>
              <w:rPr>
                <w:sz w:val="13"/>
                <w:szCs w:val="13"/>
                <w:color w:val="auto"/>
              </w:rPr>
            </w:pP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6420" w:type="dxa"/>
            <w:vAlign w:val="bottom"/>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Value/Share</w:t>
            </w:r>
          </w:p>
        </w:tc>
        <w:tc>
          <w:tcPr>
            <w:tcW w:w="0" w:type="dxa"/>
            <w:vAlign w:val="bottom"/>
          </w:tcPr>
          <w:p>
            <w:pPr>
              <w:spacing w:after="0"/>
              <w:rPr>
                <w:sz w:val="1"/>
                <w:szCs w:val="1"/>
                <w:color w:val="auto"/>
              </w:rPr>
            </w:pPr>
          </w:p>
        </w:tc>
      </w:tr>
      <w:tr>
        <w:trPr>
          <w:trHeight w:val="228"/>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Outstanding—December 31, 2025</w:t>
            </w:r>
          </w:p>
        </w:tc>
        <w:tc>
          <w:tcPr>
            <w:tcW w:w="144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115.63</w:t>
            </w: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125.90</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0" w:type="dxa"/>
            <w:vAlign w:val="bottom"/>
          </w:tcPr>
          <w:p>
            <w:pPr>
              <w:spacing w:after="0"/>
              <w:rPr>
                <w:sz w:val="1"/>
                <w:szCs w:val="1"/>
                <w:color w:val="auto"/>
              </w:rPr>
            </w:pPr>
          </w:p>
        </w:tc>
      </w:tr>
      <w:tr>
        <w:trPr>
          <w:trHeight w:val="248"/>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Outstanding—March 31, 2026</w:t>
            </w:r>
          </w:p>
        </w:tc>
        <w:tc>
          <w:tcPr>
            <w:tcW w:w="144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granted awards of 124 thousand shares of common stock to officers and key employees under the SICP. The shares granted are multi-year awards that will vest no later than the three-year service period ending December 31, 2028.</w:t>
      </w:r>
    </w:p>
    <w:p>
      <w:pPr>
        <w:spacing w:after="0" w:line="10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March 2026, upon the election by certain of our executive officers and key employees, we withheld shares with a value at least equivalent to each such executive officer’s minimum statutory obligation for applicable income and other employment taxes related to shares that vested and were paid in March 2026 for the performance period ended December 31, 2025. We paid the balance of such awarded shares to each such executive officer and remitted cash equivalent to the withheld shares to the appropriate taxing authorities. We withheld 15 thousand shares based on the value of the shares on their award date. Total combined payments for the employees’ tax obligations to the taxing authorities were approximately $2.0 million.</w:t>
      </w:r>
    </w:p>
    <w:p>
      <w:pPr>
        <w:spacing w:after="0" w:line="21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At March 31, 2026, the aggregate intrinsic value of the SICP awards granted to key employees was approximately $42.4 million. At March 31, 2026, there was approximately $13.3 million of unrecognized compensation cost related to these awards, which will be recognized through 2028.</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0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Shares granted to non-employee directors are issued in advance of the directors’ service periods and are fully vested as of the grant date. We record a deferred expense equal to the fair value of the shares issued and amortize the expense equally over a service period of one year or less.</w:t>
      </w:r>
    </w:p>
    <w:p>
      <w:pPr>
        <w:spacing w:after="0" w:line="10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Our directors receive an annual retainer of shares of common stock under the SICP for services rendered through the subsequent Annual Meeting of Stockholders. Accordingly, our directors that served on the BOD as of May 2025 or were appointed during 2025 each received approximately 1 thousand shares of common stock, respectively, with a weighted average fair value of $134.05 per share.</w:t>
      </w:r>
    </w:p>
    <w:p>
      <w:pPr>
        <w:spacing w:after="0" w:line="12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At March 31, 2026, there was $0.1 million of unrecognized compensation expense related to shares granted to non-employee directors. This expense will be recognized over the remaining service period ending in May 2026.</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Derivative Instruments</w:t>
      </w:r>
    </w:p>
    <w:p>
      <w:pPr>
        <w:spacing w:after="0" w:line="25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We use derivative and non-derivative contracts to manage risks related to obtaining adequate supplies and the price fluctuations of natural gas, electricity and propane and to mitigate interest rate risk. Our natural gas, electric and propane distribution operations have entered into agreements with suppliers to purchase natural gas, electricity and propane for resale to our customers. Our natural gas gathering and transmission company has entered into contracts with producers to secure natural gas to meet its obligations. Purchases under these contracts typically either do not meet the definition of derivatives or are considered “normal purchases and normal sales” and are accounted for on an accrual basis. Our propane distribution operations may also enter into fair value hedges of their inventory or cash flow hedges of their future purchase commitments in order to mitigate the impact of wholesale price fluctuations. Occasionally, we may enter into interest rate swap agreements to mitigate risk associated with changes in short-term borrowing rates. As of March 31, 2026, our natural gas and electric distribution operations did not have any outstanding derivative contracts.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Volume of Derivative Activity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the volume of our commodity derivative contracts were as follows:</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Quantity hedged (in</w:t>
            </w:r>
          </w:p>
        </w:tc>
        <w:tc>
          <w:tcPr>
            <w:tcW w:w="1620" w:type="dxa"/>
            <w:vAlign w:val="bottom"/>
          </w:tcPr>
          <w:p>
            <w:pPr>
              <w:spacing w:after="0"/>
              <w:rPr>
                <w:sz w:val="17"/>
                <w:szCs w:val="17"/>
                <w:color w:val="auto"/>
              </w:rPr>
            </w:pPr>
          </w:p>
        </w:tc>
        <w:tc>
          <w:tcPr>
            <w:tcW w:w="19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Longest Expiration date</w:t>
            </w:r>
          </w:p>
        </w:tc>
      </w:tr>
      <w:tr>
        <w:trPr>
          <w:trHeight w:val="243"/>
        </w:trPr>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Business unit</w:t>
            </w:r>
          </w:p>
        </w:tc>
        <w:tc>
          <w:tcPr>
            <w:tcW w:w="1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Commodity</w:t>
            </w: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Contract Type</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millions)</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Designation</w:t>
            </w:r>
          </w:p>
        </w:tc>
        <w:tc>
          <w:tcPr>
            <w:tcW w:w="19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of hedge</w:t>
            </w:r>
          </w:p>
        </w:tc>
      </w:tr>
      <w:tr>
        <w:trPr>
          <w:trHeight w:val="223"/>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Sharp</w:t>
            </w:r>
          </w:p>
        </w:tc>
        <w:tc>
          <w:tcPr>
            <w:tcW w:w="1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Propane (gallons)</w:t>
            </w:r>
          </w:p>
        </w:tc>
        <w:tc>
          <w:tcPr>
            <w:tcW w:w="15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Purchases</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9.4</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Cash flow hedges</w:t>
            </w:r>
          </w:p>
        </w:tc>
        <w:tc>
          <w:tcPr>
            <w:tcW w:w="19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September 2028</w:t>
            </w:r>
          </w:p>
        </w:tc>
      </w:tr>
    </w:tbl>
    <w:p>
      <w:pPr>
        <w:spacing w:after="0" w:line="30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Sharp entered into futures and swap agreements to mitigate the risk of fluctuations in wholesale propane index prices associated with the propane volumes that are expected to be purchased and/or sold during the heating season. Under the futures and swap agreements, Sharp will receive the difference between (i) the index prices (Mont Belvieu prices in April 2026 through September 2028) and (ii) the per gallon propane swap prices, to the extent the index prices exceed the contracted prices. If the index prices are lower than the contract prices, Sharp will pay the difference. We designated and accounted for the propane swaps as cash flow hedges. The change in the fair value of the swap agreements is recorded as unrealized gain (loss) in other comprehensive income (loss) and later recognized in the statement of income in the same period and in the same line item as the hedged transaction. The amount of unrealized loss that we expect to reclassify from accumulated other comprehensive income (loss) related to our commodity cash flow hedges to earnings during the 12-month period ended March 31, 2027 is $0.8 million.</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 Activities</w:t>
      </w:r>
    </w:p>
    <w:p>
      <w:pPr>
        <w:spacing w:after="0" w:line="10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We manage interest rate risk by entering into derivative contracts to hedge the variability in cash flows attributable to changes in the short-term borrowing rates. In September 2022, we entered into a three-year interest rate swap with a notional amount of $50.0 million at pricing of 3.98 percent. This swap expired in September 2025. In August 2024, we entered into an additional interest rate swap through August 2029, at a notional amount of $50.0 million and pricing of 3.97 percent. Our interest rate swaps are cash settled monthly as the counter-party pays us the 30-day SOFR rate less the fixed rate.</w:t>
      </w:r>
    </w:p>
    <w:p>
      <w:pPr>
        <w:spacing w:after="0" w:line="210"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We designate and account for interest rate swaps as cash flow hedges. Accordingly, unrealized gains and losses associated with the interest rate swap are recorded as a component of accumulated other comprehensive income (loss). When the interest rate swap settles, the realized gain or loss is recorded in the income statement and is recognized as a component of interest charges.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Broker Margin</w:t>
      </w:r>
    </w:p>
    <w:p>
      <w:pPr>
        <w:spacing w:after="0" w:line="10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Futures exchanges have contract specific margin requirements that require the posting of cash or cash equivalents relating to traded contracts. Margin requirements consist of initial margin that is posted upon the initiation of a position, maintenance margin that is usually expressed as a percent of initial margin, and variation margin that fluctuates based on the daily mark-to-market relative to maintenance margin requirements. We currently maintain a broker margin account for Sharp included within other current assets on the condensed consolidated balance sheets which had a balance of $2.3 million and $2.4 million as of March 31, 2026 and December 31, 2025, respectively.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Presentation</w:t>
      </w:r>
    </w:p>
    <w:p>
      <w:pPr>
        <w:spacing w:after="0" w:line="9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fair value and related gains and losses of our derivative contracts. We did not have any derivative contracts with a credit-risk related contingency. Fair values of the derivative contracts recorded in the condensed consolidated balance sheets as of March 31, 2026 and December 31, 2025, are as follows:</w:t>
      </w:r>
    </w:p>
    <w:p>
      <w:pPr>
        <w:spacing w:after="0" w:line="8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3"/>
        </w:trPr>
        <w:tc>
          <w:tcPr>
            <w:tcW w:w="416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9"/>
        </w:trPr>
        <w:tc>
          <w:tcPr>
            <w:tcW w:w="41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480" w:type="dxa"/>
            <w:vAlign w:val="bottom"/>
            <w:tcBorders>
              <w:bottom w:val="single" w:sz="8" w:color="auto"/>
            </w:tcBorders>
          </w:tcPr>
          <w:p>
            <w:pPr>
              <w:spacing w:after="0"/>
              <w:rPr>
                <w:sz w:val="16"/>
                <w:szCs w:val="16"/>
                <w:color w:val="auto"/>
              </w:rPr>
            </w:pPr>
          </w:p>
        </w:tc>
      </w:tr>
      <w:tr>
        <w:trPr>
          <w:trHeight w:val="196"/>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6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6"/>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2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r>
      <w:tr>
        <w:trPr>
          <w:trHeight w:val="230"/>
        </w:trPr>
        <w:tc>
          <w:tcPr>
            <w:tcW w:w="4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Propane swap agreements</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 at fair value</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16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Derivative Assets </w:t>
            </w:r>
            <w:r>
              <w:rPr>
                <w:rFonts w:ascii="Times New Roman" w:cs="Times New Roman" w:eastAsia="Times New Roman" w:hAnsi="Times New Roman"/>
                <w:sz w:val="23"/>
                <w:szCs w:val="23"/>
                <w:color w:val="auto"/>
                <w:vertAlign w:val="superscript"/>
              </w:rPr>
              <w:t>(1)</w:t>
            </w:r>
          </w:p>
        </w:tc>
        <w:tc>
          <w:tcPr>
            <w:tcW w:w="226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660" w:firstLine="36"/>
        <w:spacing w:after="0" w:line="273" w:lineRule="auto"/>
        <w:tabs>
          <w:tab w:leader="none" w:pos="838"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Derivative assets, at fair value, include $0.8 million in current assets in the condensed consolidated balance sheet at March 31, 2026, with the remainder of the balances classified as long-term. There were no current derivative asset at December 31,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3760" w:type="dxa"/>
            <w:vAlign w:val="bottom"/>
            <w:gridSpan w:val="3"/>
          </w:tcPr>
          <w:p>
            <w:pPr>
              <w:ind w:left="224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3"/>
        </w:trPr>
        <w:tc>
          <w:tcPr>
            <w:tcW w:w="412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9"/>
        </w:trPr>
        <w:tc>
          <w:tcPr>
            <w:tcW w:w="41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500" w:type="dxa"/>
            <w:vAlign w:val="bottom"/>
            <w:tcBorders>
              <w:bottom w:val="single" w:sz="8" w:color="auto"/>
            </w:tcBorders>
          </w:tcPr>
          <w:p>
            <w:pPr>
              <w:spacing w:after="0"/>
              <w:rPr>
                <w:sz w:val="16"/>
                <w:szCs w:val="16"/>
                <w:color w:val="auto"/>
              </w:rPr>
            </w:pPr>
          </w:p>
        </w:tc>
      </w:tr>
      <w:tr>
        <w:trPr>
          <w:trHeight w:val="196"/>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6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6"/>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3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29"/>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Propane swap agreements</w:t>
            </w: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liabilities, at fair value</w:t>
            </w:r>
          </w:p>
        </w:tc>
        <w:tc>
          <w:tcPr>
            <w:tcW w:w="500" w:type="dxa"/>
            <w:vAlign w:val="bottom"/>
          </w:tcPr>
          <w:p>
            <w:pPr>
              <w:jc w:val="right"/>
              <w:ind w:right="3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at fair value</w:t>
            </w:r>
          </w:p>
        </w:tc>
        <w:tc>
          <w:tcPr>
            <w:tcW w:w="5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41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Derivative Liabilities </w:t>
            </w:r>
            <w:r>
              <w:rPr>
                <w:rFonts w:ascii="Times New Roman" w:cs="Times New Roman" w:eastAsia="Times New Roman" w:hAnsi="Times New Roman"/>
                <w:sz w:val="23"/>
                <w:szCs w:val="23"/>
                <w:color w:val="auto"/>
                <w:vertAlign w:val="superscript"/>
              </w:rPr>
              <w:t>(1)</w:t>
            </w: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
        </w:trPr>
        <w:tc>
          <w:tcPr>
            <w:tcW w:w="4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660" w:hanging="4"/>
        <w:spacing w:after="0" w:line="302" w:lineRule="auto"/>
        <w:tabs>
          <w:tab w:leader="none" w:pos="798"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Derivative liabilities, at fair value, include $0.2 million in current liabilities in the condensed consolidated balance sheet at March 31, 2026 and $0.8 million at December 31, 2025, with the remainder of the balances classified as long-term.</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effects of gains and losses from derivative instruments on the condensed consolidated statements of income are as follows: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44" w:lineRule="exact"/>
        <w:rPr>
          <w:sz w:val="20"/>
          <w:szCs w:val="20"/>
          <w:color w:val="auto"/>
        </w:rPr>
      </w:pPr>
    </w:p>
    <w:p>
      <w:pPr>
        <w:ind w:left="680"/>
        <w:spacing w:after="0" w:line="239" w:lineRule="auto"/>
        <w:rPr>
          <w:sz w:val="20"/>
          <w:szCs w:val="20"/>
          <w:color w:val="auto"/>
        </w:rPr>
      </w:pPr>
      <w:r>
        <w:rPr>
          <w:rFonts w:ascii="Times New Roman" w:cs="Times New Roman" w:eastAsia="Times New Roman" w:hAnsi="Times New Roman"/>
          <w:sz w:val="18"/>
          <w:szCs w:val="18"/>
          <w:b w:val="1"/>
          <w:bCs w:val="1"/>
          <w:color w:val="auto"/>
        </w:rPr>
        <w:t>Derivatives designated as cash flow hedges</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Propane swap agreements</w:t>
      </w:r>
    </w:p>
    <w:p>
      <w:pPr>
        <w:spacing w:after="0" w:line="1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Interest rate swap agreements</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600" w:type="dxa"/>
        <w:tblCellMar>
          <w:top w:w="0" w:type="dxa"/>
          <w:left w:w="0" w:type="dxa"/>
          <w:bottom w:w="0" w:type="dxa"/>
          <w:right w:w="0" w:type="dxa"/>
        </w:tblCellMar>
      </w:tblPr>
      <w:tr>
        <w:trPr>
          <w:trHeight w:val="215"/>
        </w:trPr>
        <w:tc>
          <w:tcPr>
            <w:tcW w:w="2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Amount of Gain (Loss) on Derivatives</w:t>
            </w:r>
          </w:p>
        </w:tc>
      </w:tr>
      <w:tr>
        <w:trPr>
          <w:trHeight w:val="209"/>
        </w:trPr>
        <w:tc>
          <w:tcPr>
            <w:tcW w:w="2220" w:type="dxa"/>
            <w:vAlign w:val="bottom"/>
          </w:tcPr>
          <w:p>
            <w:pPr>
              <w:jc w:val="center"/>
              <w:ind w:right="679"/>
              <w:spacing w:after="0"/>
              <w:rPr>
                <w:sz w:val="20"/>
                <w:szCs w:val="20"/>
                <w:color w:val="auto"/>
              </w:rPr>
            </w:pPr>
            <w:r>
              <w:rPr>
                <w:rFonts w:ascii="Times New Roman" w:cs="Times New Roman" w:eastAsia="Times New Roman" w:hAnsi="Times New Roman"/>
                <w:sz w:val="16"/>
                <w:szCs w:val="16"/>
                <w:b w:val="1"/>
                <w:bCs w:val="1"/>
                <w:color w:val="auto"/>
              </w:rPr>
              <w:t>Location of Gain</w:t>
            </w:r>
          </w:p>
        </w:tc>
        <w:tc>
          <w:tcPr>
            <w:tcW w:w="100" w:type="dxa"/>
            <w:vAlign w:val="bottom"/>
          </w:tcPr>
          <w:p>
            <w:pPr>
              <w:spacing w:after="0"/>
              <w:rPr>
                <w:sz w:val="18"/>
                <w:szCs w:val="18"/>
                <w:color w:val="auto"/>
              </w:rPr>
            </w:pPr>
          </w:p>
        </w:tc>
        <w:tc>
          <w:tcPr>
            <w:tcW w:w="358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11"/>
        </w:trPr>
        <w:tc>
          <w:tcPr>
            <w:tcW w:w="2320" w:type="dxa"/>
            <w:vAlign w:val="bottom"/>
            <w:gridSpan w:val="2"/>
          </w:tcPr>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(Loss) on Derivatives</w:t>
            </w:r>
          </w:p>
        </w:tc>
        <w:tc>
          <w:tcPr>
            <w:tcW w:w="15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-2110105</wp:posOffset>
            </wp:positionH>
            <wp:positionV relativeFrom="paragraph">
              <wp:posOffset>-8255</wp:posOffset>
            </wp:positionV>
            <wp:extent cx="6240780" cy="265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40780" cy="265430"/>
                    </a:xfrm>
                    <a:prstGeom prst="rect">
                      <a:avLst/>
                    </a:prstGeom>
                    <a:noFill/>
                  </pic:spPr>
                </pic:pic>
              </a:graphicData>
            </a:graphic>
          </wp:anchor>
        </w:drawing>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Unregulated propane and natural gas</w:t>
            </w:r>
          </w:p>
        </w:tc>
        <w:tc>
          <w:tcPr>
            <w:tcW w:w="6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7"/>
                <w:szCs w:val="17"/>
                <w:color w:val="auto"/>
              </w:rPr>
            </w:pPr>
          </w:p>
        </w:tc>
        <w:tc>
          <w:tcPr>
            <w:tcW w:w="86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148"/>
        </w:trPr>
        <w:tc>
          <w:tcPr>
            <w:tcW w:w="29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costs</w:t>
            </w:r>
          </w:p>
        </w:tc>
        <w:tc>
          <w:tcPr>
            <w:tcW w:w="6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9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660" w:type="dxa"/>
            <w:vAlign w:val="bottom"/>
          </w:tcPr>
          <w:p>
            <w:pPr>
              <w:spacing w:after="0"/>
              <w:rPr>
                <w:sz w:val="20"/>
                <w:szCs w:val="20"/>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-2110105</wp:posOffset>
            </wp:positionH>
            <wp:positionV relativeFrom="paragraph">
              <wp:posOffset>-333375</wp:posOffset>
            </wp:positionV>
            <wp:extent cx="624078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4078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80" w:space="600"/>
            <w:col w:w="7260"/>
          </w:cols>
          <w:pgMar w:left="320" w:top="1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0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GAAP establishes a fair value hierarchy that prioritizes the inputs to valuation methods used to measure fair value. The three levels of the fair value hierarchy include the following:</w:t>
      </w:r>
    </w:p>
    <w:p>
      <w:pPr>
        <w:spacing w:after="0" w:line="14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40" w:type="dxa"/>
            <w:vAlign w:val="bottom"/>
          </w:tcPr>
          <w:p>
            <w:pPr>
              <w:spacing w:after="0"/>
              <w:rPr>
                <w:sz w:val="17"/>
                <w:szCs w:val="17"/>
                <w:color w:val="auto"/>
              </w:rPr>
            </w:pPr>
          </w:p>
        </w:tc>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Fair Value Level</w:t>
            </w:r>
          </w:p>
        </w:tc>
        <w:tc>
          <w:tcPr>
            <w:tcW w:w="4640" w:type="dxa"/>
            <w:vAlign w:val="bottom"/>
            <w:gridSpan w:val="3"/>
            <w:vMerge w:val="restart"/>
          </w:tcPr>
          <w:p>
            <w:pPr>
              <w:ind w:left="1260"/>
              <w:spacing w:after="0"/>
              <w:rPr>
                <w:sz w:val="20"/>
                <w:szCs w:val="20"/>
                <w:color w:val="auto"/>
              </w:rPr>
            </w:pPr>
            <w:r>
              <w:rPr>
                <w:rFonts w:ascii="Times New Roman" w:cs="Times New Roman" w:eastAsia="Times New Roman" w:hAnsi="Times New Roman"/>
                <w:sz w:val="18"/>
                <w:szCs w:val="18"/>
                <w:b w:val="1"/>
                <w:bCs w:val="1"/>
                <w:color w:val="auto"/>
              </w:rPr>
              <w:t>Fair Value Technique Utilized</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Hierarchy</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300" w:type="dxa"/>
            <w:vAlign w:val="bottom"/>
            <w:gridSpan w:val="2"/>
            <w:vMerge w:val="continue"/>
          </w:tcPr>
          <w:p>
            <w:pPr>
              <w:spacing w:after="0"/>
              <w:rPr>
                <w:sz w:val="13"/>
                <w:szCs w:val="13"/>
                <w:color w:val="auto"/>
              </w:rPr>
            </w:pPr>
          </w:p>
        </w:tc>
        <w:tc>
          <w:tcPr>
            <w:tcW w:w="46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Level 1</w:t>
            </w:r>
          </w:p>
        </w:tc>
        <w:tc>
          <w:tcPr>
            <w:tcW w:w="4140" w:type="dxa"/>
            <w:vAlign w:val="bottom"/>
            <w:gridSpan w:val="3"/>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Unadjusted quoted prices in active markets that are</w:t>
            </w:r>
          </w:p>
        </w:tc>
        <w:tc>
          <w:tcPr>
            <w:tcW w:w="4640" w:type="dxa"/>
            <w:vAlign w:val="bottom"/>
            <w:gridSpan w:val="3"/>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i w:val="1"/>
                <w:iCs w:val="1"/>
                <w:color w:val="auto"/>
              </w:rPr>
              <w:t xml:space="preserve">Investments - equity securities </w:t>
            </w:r>
            <w:r>
              <w:rPr>
                <w:rFonts w:ascii="Times New Roman" w:cs="Times New Roman" w:eastAsia="Times New Roman" w:hAnsi="Times New Roman"/>
                <w:sz w:val="18"/>
                <w:szCs w:val="18"/>
                <w:color w:val="auto"/>
              </w:rPr>
              <w:t>- The fair values of these</w:t>
            </w:r>
          </w:p>
        </w:tc>
        <w:tc>
          <w:tcPr>
            <w:tcW w:w="0" w:type="dxa"/>
            <w:vAlign w:val="bottom"/>
          </w:tcPr>
          <w:p>
            <w:pPr>
              <w:spacing w:after="0"/>
              <w:rPr>
                <w:sz w:val="1"/>
                <w:szCs w:val="1"/>
                <w:color w:val="auto"/>
              </w:rPr>
            </w:pPr>
          </w:p>
        </w:tc>
      </w:tr>
      <w:tr>
        <w:trPr>
          <w:trHeight w:val="184"/>
        </w:trPr>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140" w:type="dxa"/>
            <w:vAlign w:val="bottom"/>
            <w:gridSpan w:val="3"/>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accessible at the measurement date for identical,</w:t>
            </w:r>
          </w:p>
        </w:tc>
        <w:tc>
          <w:tcPr>
            <w:tcW w:w="4640" w:type="dxa"/>
            <w:vAlign w:val="bottom"/>
            <w:gridSpan w:val="3"/>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trading  securities  are  recorded  at  fair  value  based  on</w:t>
            </w:r>
          </w:p>
        </w:tc>
        <w:tc>
          <w:tcPr>
            <w:tcW w:w="0" w:type="dxa"/>
            <w:vAlign w:val="bottom"/>
          </w:tcPr>
          <w:p>
            <w:pPr>
              <w:spacing w:after="0"/>
              <w:rPr>
                <w:sz w:val="1"/>
                <w:szCs w:val="1"/>
                <w:color w:val="auto"/>
              </w:rPr>
            </w:pPr>
          </w:p>
        </w:tc>
      </w:tr>
      <w:tr>
        <w:trPr>
          <w:trHeight w:val="180"/>
        </w:trPr>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140" w:type="dxa"/>
            <w:vAlign w:val="bottom"/>
            <w:gridSpan w:val="3"/>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unrestricted assets or liabilities.</w:t>
            </w:r>
          </w:p>
        </w:tc>
        <w:tc>
          <w:tcPr>
            <w:tcW w:w="4640" w:type="dxa"/>
            <w:vAlign w:val="bottom"/>
            <w:gridSpan w:val="3"/>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unadjusted quoted prices in active markets for identical</w:t>
            </w:r>
          </w:p>
        </w:tc>
        <w:tc>
          <w:tcPr>
            <w:tcW w:w="0" w:type="dxa"/>
            <w:vAlign w:val="bottom"/>
          </w:tcPr>
          <w:p>
            <w:pPr>
              <w:spacing w:after="0"/>
              <w:rPr>
                <w:sz w:val="1"/>
                <w:szCs w:val="1"/>
                <w:color w:val="auto"/>
              </w:rPr>
            </w:pPr>
          </w:p>
        </w:tc>
      </w:tr>
      <w:tr>
        <w:trPr>
          <w:trHeight w:val="234"/>
        </w:trPr>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w:t>
            </w:r>
          </w:p>
        </w:tc>
        <w:tc>
          <w:tcPr>
            <w:tcW w:w="0" w:type="dxa"/>
            <w:vAlign w:val="bottom"/>
          </w:tcPr>
          <w:p>
            <w:pPr>
              <w:spacing w:after="0"/>
              <w:rPr>
                <w:sz w:val="1"/>
                <w:szCs w:val="1"/>
                <w:color w:val="auto"/>
              </w:rPr>
            </w:pPr>
          </w:p>
        </w:tc>
      </w:tr>
      <w:tr>
        <w:trPr>
          <w:trHeight w:val="368"/>
        </w:trPr>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 xml:space="preserve">Investments - mutual funds and other - </w:t>
            </w:r>
            <w:r>
              <w:rPr>
                <w:rFonts w:ascii="Times New Roman" w:cs="Times New Roman" w:eastAsia="Times New Roman" w:hAnsi="Times New Roman"/>
                <w:sz w:val="18"/>
                <w:szCs w:val="18"/>
                <w:color w:val="auto"/>
              </w:rPr>
              <w:t>The fair values of</w:t>
            </w:r>
          </w:p>
        </w:tc>
        <w:tc>
          <w:tcPr>
            <w:tcW w:w="0" w:type="dxa"/>
            <w:vAlign w:val="bottom"/>
          </w:tcPr>
          <w:p>
            <w:pPr>
              <w:spacing w:after="0"/>
              <w:rPr>
                <w:sz w:val="1"/>
                <w:szCs w:val="1"/>
                <w:color w:val="auto"/>
              </w:rPr>
            </w:pPr>
          </w:p>
        </w:tc>
      </w:tr>
      <w:tr>
        <w:trPr>
          <w:trHeight w:val="180"/>
        </w:trPr>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40" w:type="dxa"/>
            <w:vAlign w:val="bottom"/>
            <w:gridSpan w:val="3"/>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these investments, comprised of money market and mutual</w:t>
            </w:r>
          </w:p>
        </w:tc>
        <w:tc>
          <w:tcPr>
            <w:tcW w:w="0" w:type="dxa"/>
            <w:vAlign w:val="bottom"/>
          </w:tcPr>
          <w:p>
            <w:pPr>
              <w:spacing w:after="0"/>
              <w:rPr>
                <w:sz w:val="1"/>
                <w:szCs w:val="1"/>
                <w:color w:val="auto"/>
              </w:rPr>
            </w:pPr>
          </w:p>
        </w:tc>
      </w:tr>
      <w:tr>
        <w:trPr>
          <w:trHeight w:val="175"/>
        </w:trPr>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40" w:type="dxa"/>
            <w:vAlign w:val="bottom"/>
            <w:gridSpan w:val="3"/>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funds, are recorded at fair value based on quoted net asset</w:t>
            </w:r>
          </w:p>
        </w:tc>
        <w:tc>
          <w:tcPr>
            <w:tcW w:w="0" w:type="dxa"/>
            <w:vAlign w:val="bottom"/>
          </w:tcPr>
          <w:p>
            <w:pPr>
              <w:spacing w:after="0"/>
              <w:rPr>
                <w:sz w:val="1"/>
                <w:szCs w:val="1"/>
                <w:color w:val="auto"/>
              </w:rPr>
            </w:pPr>
          </w:p>
        </w:tc>
      </w:tr>
      <w:tr>
        <w:trPr>
          <w:trHeight w:val="234"/>
        </w:trPr>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values of the shares.</w:t>
            </w:r>
          </w:p>
        </w:tc>
        <w:tc>
          <w:tcPr>
            <w:tcW w:w="0" w:type="dxa"/>
            <w:vAlign w:val="bottom"/>
          </w:tcPr>
          <w:p>
            <w:pPr>
              <w:spacing w:after="0"/>
              <w:rPr>
                <w:sz w:val="1"/>
                <w:szCs w:val="1"/>
                <w:color w:val="auto"/>
              </w:rPr>
            </w:pPr>
          </w:p>
        </w:tc>
      </w:tr>
      <w:tr>
        <w:trPr>
          <w:trHeight w:val="252"/>
        </w:trPr>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4" w:right="339" w:bottom="1440" w:gutter="0" w:footer="0" w:header="0"/>
        </w:sectPr>
      </w:pPr>
    </w:p>
    <w:p>
      <w:pPr>
        <w:jc w:val="right"/>
        <w:ind w:left="680"/>
        <w:spacing w:after="0" w:line="220" w:lineRule="auto"/>
        <w:rPr>
          <w:sz w:val="20"/>
          <w:szCs w:val="20"/>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w:t>
      </w:r>
    </w:p>
    <w:p>
      <w:pPr>
        <w:ind w:left="1780"/>
        <w:spacing w:after="0"/>
        <w:rPr>
          <w:sz w:val="20"/>
          <w:szCs w:val="20"/>
          <w:color w:val="auto"/>
        </w:rPr>
      </w:pPr>
      <w:r>
        <w:rPr>
          <w:rFonts w:ascii="Times New Roman" w:cs="Times New Roman" w:eastAsia="Times New Roman" w:hAnsi="Times New Roman"/>
          <w:sz w:val="18"/>
          <w:szCs w:val="18"/>
          <w:color w:val="auto"/>
        </w:rPr>
        <w:t>substantially the full term of the asset or liability.</w:t>
      </w:r>
    </w:p>
    <w:p>
      <w:pPr>
        <w:spacing w:after="0" w:line="20" w:lineRule="exact"/>
        <w:rPr>
          <w:sz w:val="20"/>
          <w:szCs w:val="20"/>
          <w:color w:val="auto"/>
        </w:rPr>
      </w:pPr>
      <w:r>
        <w:rPr>
          <w:sz w:val="20"/>
          <w:szCs w:val="20"/>
          <w:color w:val="auto"/>
        </w:rPr>
        <w:br w:type="column"/>
      </w:r>
    </w:p>
    <w:p>
      <w:pPr>
        <w:jc w:val="both"/>
        <w:ind w:right="780"/>
        <w:spacing w:after="0" w:line="220" w:lineRule="auto"/>
        <w:rPr>
          <w:sz w:val="20"/>
          <w:szCs w:val="20"/>
          <w:color w:val="auto"/>
        </w:rPr>
      </w:pPr>
      <w:r>
        <w:rPr>
          <w:rFonts w:ascii="Times New Roman" w:cs="Times New Roman" w:eastAsia="Times New Roman" w:hAnsi="Times New Roman"/>
          <w:sz w:val="18"/>
          <w:szCs w:val="18"/>
          <w:i w:val="1"/>
          <w:iCs w:val="1"/>
          <w:color w:val="auto"/>
        </w:rPr>
        <w:t xml:space="preserve">Derivative assets and liabilities </w:t>
      </w:r>
      <w:r>
        <w:rPr>
          <w:rFonts w:ascii="Times New Roman" w:cs="Times New Roman" w:eastAsia="Times New Roman" w:hAnsi="Times New Roman"/>
          <w:sz w:val="18"/>
          <w:szCs w:val="18"/>
          <w:color w:val="auto"/>
        </w:rPr>
        <w:t>- The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propane put/call options, propane and interest rate swap</w:t>
      </w:r>
    </w:p>
    <w:p>
      <w:pPr>
        <w:jc w:val="both"/>
        <w:ind w:right="780"/>
        <w:spacing w:after="0" w:line="218" w:lineRule="auto"/>
        <w:rPr>
          <w:sz w:val="20"/>
          <w:szCs w:val="20"/>
          <w:color w:val="auto"/>
        </w:rPr>
      </w:pPr>
      <w:r>
        <w:rPr>
          <w:rFonts w:ascii="Times New Roman" w:cs="Times New Roman" w:eastAsia="Times New Roman" w:hAnsi="Times New Roman"/>
          <w:sz w:val="18"/>
          <w:szCs w:val="18"/>
          <w:color w:val="auto"/>
        </w:rPr>
        <w:t>agreements are measured using market transactions for similar assets and liabilities in either the listed or over-the-counter markets.</w:t>
      </w:r>
    </w:p>
    <w:p>
      <w:pPr>
        <w:spacing w:after="0" w:line="200" w:lineRule="exact"/>
        <w:rPr>
          <w:sz w:val="20"/>
          <w:szCs w:val="20"/>
          <w:color w:val="auto"/>
        </w:rPr>
      </w:pPr>
    </w:p>
    <w:p>
      <w:pPr>
        <w:sectPr>
          <w:pgSz w:w="11900" w:h="16838" w:orient="portrait"/>
          <w:cols w:equalWidth="0" w:num="2">
            <w:col w:w="5680" w:space="320"/>
            <w:col w:w="5240"/>
          </w:cols>
          <w:pgMar w:left="320" w:top="124" w:right="339" w:bottom="1440" w:gutter="0" w:footer="0" w:header="0"/>
          <w:type w:val="continuous"/>
        </w:sectPr>
      </w:pPr>
    </w:p>
    <w:p>
      <w:pPr>
        <w:spacing w:after="0" w:line="31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Prices or valuation techniques requiring inputs that</w:t>
            </w:r>
          </w:p>
        </w:tc>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 xml:space="preserve">Investments - guaranteed income fund </w:t>
            </w:r>
            <w:r>
              <w:rPr>
                <w:rFonts w:ascii="Times New Roman" w:cs="Times New Roman" w:eastAsia="Times New Roman" w:hAnsi="Times New Roman"/>
                <w:sz w:val="18"/>
                <w:szCs w:val="18"/>
                <w:color w:val="auto"/>
              </w:rPr>
              <w:t>- The fair values of</w:t>
            </w:r>
          </w:p>
        </w:tc>
      </w:tr>
      <w:tr>
        <w:trPr>
          <w:trHeight w:val="184"/>
        </w:trPr>
        <w:tc>
          <w:tcPr>
            <w:tcW w:w="840" w:type="dxa"/>
            <w:vAlign w:val="bottom"/>
            <w:shd w:val="clear" w:color="auto" w:fill="CCEEFF"/>
          </w:tcPr>
          <w:p>
            <w:pPr>
              <w:spacing w:after="0"/>
              <w:rPr>
                <w:sz w:val="16"/>
                <w:szCs w:val="16"/>
                <w:color w:val="auto"/>
              </w:rPr>
            </w:pPr>
          </w:p>
        </w:tc>
        <w:tc>
          <w:tcPr>
            <w:tcW w:w="4340" w:type="dxa"/>
            <w:vAlign w:val="bottom"/>
            <w:shd w:val="clear" w:color="auto" w:fill="CCEEFF"/>
          </w:tcPr>
          <w:p>
            <w:pPr>
              <w:ind w:left="280"/>
              <w:spacing w:after="0" w:line="184" w:lineRule="exact"/>
              <w:rPr>
                <w:sz w:val="20"/>
                <w:szCs w:val="20"/>
                <w:color w:val="auto"/>
              </w:rPr>
            </w:pPr>
            <w:r>
              <w:rPr>
                <w:rFonts w:ascii="Times New Roman" w:cs="Times New Roman" w:eastAsia="Times New Roman" w:hAnsi="Times New Roman"/>
                <w:sz w:val="18"/>
                <w:szCs w:val="18"/>
                <w:color w:val="auto"/>
              </w:rPr>
              <w:t>are both significant to the fair value measurement and</w:t>
            </w:r>
          </w:p>
        </w:tc>
        <w:tc>
          <w:tcPr>
            <w:tcW w:w="464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these investments are recorded at the contract value, which</w:t>
            </w:r>
          </w:p>
        </w:tc>
      </w:tr>
      <w:tr>
        <w:trPr>
          <w:trHeight w:val="180"/>
        </w:trPr>
        <w:tc>
          <w:tcPr>
            <w:tcW w:w="840" w:type="dxa"/>
            <w:vAlign w:val="bottom"/>
            <w:shd w:val="clear" w:color="auto" w:fill="CCEEFF"/>
          </w:tcPr>
          <w:p>
            <w:pPr>
              <w:spacing w:after="0"/>
              <w:rPr>
                <w:sz w:val="15"/>
                <w:szCs w:val="15"/>
                <w:color w:val="auto"/>
              </w:rPr>
            </w:pPr>
          </w:p>
        </w:tc>
        <w:tc>
          <w:tcPr>
            <w:tcW w:w="4340" w:type="dxa"/>
            <w:vAlign w:val="bottom"/>
            <w:shd w:val="clear" w:color="auto" w:fill="CCEEFF"/>
          </w:tcPr>
          <w:p>
            <w:pPr>
              <w:ind w:left="280"/>
              <w:spacing w:after="0" w:line="181" w:lineRule="exact"/>
              <w:rPr>
                <w:sz w:val="20"/>
                <w:szCs w:val="20"/>
                <w:color w:val="auto"/>
              </w:rPr>
            </w:pPr>
            <w:r>
              <w:rPr>
                <w:rFonts w:ascii="Times New Roman" w:cs="Times New Roman" w:eastAsia="Times New Roman" w:hAnsi="Times New Roman"/>
                <w:sz w:val="18"/>
                <w:szCs w:val="18"/>
                <w:color w:val="auto"/>
              </w:rPr>
              <w:t>unobservable (i.e. supported by little or no market</w:t>
            </w:r>
          </w:p>
        </w:tc>
        <w:tc>
          <w:tcPr>
            <w:tcW w:w="464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approximates their fair value.</w:t>
            </w:r>
          </w:p>
        </w:tc>
      </w:tr>
      <w:tr>
        <w:trPr>
          <w:trHeight w:val="234"/>
        </w:trPr>
        <w:tc>
          <w:tcPr>
            <w:tcW w:w="840" w:type="dxa"/>
            <w:vAlign w:val="bottom"/>
            <w:shd w:val="clear" w:color="auto" w:fill="CCEEFF"/>
          </w:tcPr>
          <w:p>
            <w:pPr>
              <w:spacing w:after="0"/>
              <w:rPr>
                <w:sz w:val="20"/>
                <w:szCs w:val="20"/>
                <w:color w:val="auto"/>
              </w:rPr>
            </w:pPr>
          </w:p>
        </w:tc>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activity).</w:t>
            </w:r>
          </w:p>
        </w:tc>
        <w:tc>
          <w:tcPr>
            <w:tcW w:w="4640" w:type="dxa"/>
            <w:vAlign w:val="bottom"/>
            <w:shd w:val="clear" w:color="auto" w:fill="CCEEFF"/>
          </w:tcPr>
          <w:p>
            <w:pPr>
              <w:spacing w:after="0"/>
              <w:rPr>
                <w:sz w:val="20"/>
                <w:szCs w:val="20"/>
                <w:color w:val="auto"/>
              </w:rPr>
            </w:pPr>
          </w:p>
        </w:tc>
      </w:tr>
      <w:tr>
        <w:trPr>
          <w:trHeight w:val="63"/>
        </w:trPr>
        <w:tc>
          <w:tcPr>
            <w:tcW w:w="840" w:type="dxa"/>
            <w:vAlign w:val="bottom"/>
            <w:shd w:val="clear" w:color="auto" w:fill="CCEEFF"/>
          </w:tcPr>
          <w:p>
            <w:pPr>
              <w:spacing w:after="0"/>
              <w:rPr>
                <w:sz w:val="5"/>
                <w:szCs w:val="5"/>
                <w:color w:val="auto"/>
              </w:rPr>
            </w:pPr>
          </w:p>
        </w:tc>
        <w:tc>
          <w:tcPr>
            <w:tcW w:w="4340" w:type="dxa"/>
            <w:vAlign w:val="bottom"/>
            <w:shd w:val="clear" w:color="auto" w:fill="CCEEFF"/>
          </w:tcPr>
          <w:p>
            <w:pPr>
              <w:spacing w:after="0"/>
              <w:rPr>
                <w:sz w:val="5"/>
                <w:szCs w:val="5"/>
                <w:color w:val="auto"/>
              </w:rPr>
            </w:pPr>
          </w:p>
        </w:tc>
        <w:tc>
          <w:tcPr>
            <w:tcW w:w="4640" w:type="dxa"/>
            <w:vAlign w:val="bottom"/>
            <w:shd w:val="clear" w:color="auto" w:fill="CCEEFF"/>
          </w:tcPr>
          <w:p>
            <w:pPr>
              <w:spacing w:after="0"/>
              <w:rPr>
                <w:sz w:val="5"/>
                <w:szCs w:val="5"/>
                <w:color w:val="auto"/>
              </w:rPr>
            </w:pPr>
          </w:p>
        </w:tc>
      </w:tr>
    </w:tbl>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w:t>
      </w:r>
    </w:p>
    <w:p>
      <w:pPr>
        <w:spacing w:after="0" w:line="12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financial assets and liabilities that are measured at fair value on a recurring basis and the fair value measurements, by level, within the fair value hierarchy as of March 31, 2026 and December 31, 2025:</w:t>
      </w:r>
    </w:p>
    <w:p>
      <w:pPr>
        <w:spacing w:after="0" w:line="8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1"/>
                <w:szCs w:val="11"/>
                <w:color w:val="auto"/>
              </w:rPr>
            </w:pPr>
          </w:p>
        </w:tc>
        <w:tc>
          <w:tcPr>
            <w:tcW w:w="13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1"/>
                <w:szCs w:val="11"/>
                <w:color w:val="auto"/>
              </w:rPr>
            </w:pPr>
          </w:p>
        </w:tc>
        <w:tc>
          <w:tcPr>
            <w:tcW w:w="1000" w:type="dxa"/>
            <w:vAlign w:val="bottom"/>
          </w:tcPr>
          <w:p>
            <w:pPr>
              <w:jc w:val="center"/>
              <w:ind w:right="57"/>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0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37"/>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1"/>
                <w:szCs w:val="11"/>
                <w:color w:val="auto"/>
              </w:rPr>
            </w:pPr>
          </w:p>
        </w:tc>
        <w:tc>
          <w:tcPr>
            <w:tcW w:w="134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1"/>
                <w:szCs w:val="11"/>
                <w:color w:val="auto"/>
              </w:rPr>
            </w:pPr>
          </w:p>
        </w:tc>
        <w:tc>
          <w:tcPr>
            <w:tcW w:w="1000" w:type="dxa"/>
            <w:vAlign w:val="bottom"/>
          </w:tcPr>
          <w:p>
            <w:pPr>
              <w:jc w:val="center"/>
              <w:ind w:right="37"/>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14"/>
        </w:trPr>
        <w:tc>
          <w:tcPr>
            <w:tcW w:w="4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8"/>
                <w:szCs w:val="18"/>
                <w:color w:val="auto"/>
              </w:rPr>
            </w:pPr>
          </w:p>
        </w:tc>
        <w:tc>
          <w:tcPr>
            <w:tcW w:w="10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6"/>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Investments—guaranteed income fund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Investments—mutual funds and other</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assets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1"/>
                <w:szCs w:val="11"/>
                <w:color w:val="auto"/>
              </w:rPr>
            </w:pPr>
          </w:p>
        </w:tc>
        <w:tc>
          <w:tcPr>
            <w:tcW w:w="13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1"/>
                <w:szCs w:val="11"/>
                <w:color w:val="auto"/>
              </w:rPr>
            </w:pPr>
          </w:p>
        </w:tc>
        <w:tc>
          <w:tcPr>
            <w:tcW w:w="1000" w:type="dxa"/>
            <w:vAlign w:val="bottom"/>
          </w:tcPr>
          <w:p>
            <w:pPr>
              <w:jc w:val="center"/>
              <w:ind w:right="59"/>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000" w:type="dxa"/>
            <w:vAlign w:val="bottom"/>
          </w:tcPr>
          <w:p>
            <w:pPr>
              <w:jc w:val="center"/>
              <w:ind w:right="39"/>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2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6"/>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Investments—guaranteed income fund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Investments—mutual funds and other</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changes in the fair value of Level 3 investments for the three months ended March 31, 2026 and 2025 were not material. Investment income from the Level 3 investments is reflected in other income, net in the condensed consolidated statements of income.</w:t>
      </w:r>
    </w:p>
    <w:p>
      <w:pPr>
        <w:spacing w:after="0" w:line="27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At March 31, 2026, there were no non-financial assets or liabilities required to be reported at fair value. We review our non-financial assets for impairment at least on an annual basis, as required.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Assets and Liabilities</w:t>
      </w:r>
    </w:p>
    <w:p>
      <w:pPr>
        <w:spacing w:after="0" w:line="12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Financial assets with carrying values approximating fair value include cash and cash equivalents and accounts receivable. Financial liabilities with carrying values approximating fair value include accounts payable and other accrued liabilities and short-term debt. The fair value of cash and cash equivalents is measured using the comparable value in the active market and approximates its carrying value (Level 1 measurement). The fair value of short-term debt approximates the carrying value due to its near-term maturities and because interest rates approximate current market rates (Level 2 measurement).</w:t>
      </w:r>
    </w:p>
    <w:p>
      <w:pPr>
        <w:spacing w:after="0" w:line="21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At March 31, 2026 and December 31, 2025, long-term debt, which includes current maturities but excludes debt issuance costs, had both a carrying value and estimated fair value of approximately $1.5 billion. The fair value was calculated using a discounted cash flow methodology that incorporates a market interest rate based on published corporate borrowing rates for debt instruments with similar terms and average maturities, and with adjustments for duration, optionality, and risk profile. The valuation technique used to estimate the fair value of long-term debt would be considered a Level 2 measurement.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14.  Long-Term Debt</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10"/>
        </w:trPr>
        <w:tc>
          <w:tcPr>
            <w:tcW w:w="6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Our outstanding long-term debt is shown below:</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29"/>
        </w:trPr>
        <w:tc>
          <w:tcPr>
            <w:tcW w:w="6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0" w:type="dxa"/>
            <w:vAlign w:val="bottom"/>
          </w:tcPr>
          <w:p>
            <w:pPr>
              <w:spacing w:after="0"/>
              <w:rPr>
                <w:sz w:val="20"/>
                <w:szCs w:val="20"/>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66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Uncollateralized Senior Notes: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5.68% notes, due June 2026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66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6.39% notes, due December 2026</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60" w:type="dxa"/>
            <w:vAlign w:val="bottom"/>
          </w:tcPr>
          <w:p>
            <w:pPr>
              <w:spacing w:after="0"/>
              <w:rPr>
                <w:sz w:val="19"/>
                <w:szCs w:val="19"/>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6.44% notes, due December 2027</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6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6.43% notes, due May 2028</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660" w:type="dxa"/>
            <w:vAlign w:val="bottom"/>
          </w:tcPr>
          <w:p>
            <w:pPr>
              <w:spacing w:after="0"/>
              <w:rPr>
                <w:sz w:val="19"/>
                <w:szCs w:val="19"/>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4.88% notes, due August 2028</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66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3.73% notes, due December 2028</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660" w:type="dxa"/>
            <w:vAlign w:val="bottom"/>
          </w:tcPr>
          <w:p>
            <w:pPr>
              <w:spacing w:after="0"/>
              <w:rPr>
                <w:sz w:val="19"/>
                <w:szCs w:val="19"/>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6.45% notes, due December 2028</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6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3.88% notes, due May 2029</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660" w:type="dxa"/>
            <w:vAlign w:val="bottom"/>
          </w:tcPr>
          <w:p>
            <w:pPr>
              <w:spacing w:after="0"/>
              <w:rPr>
                <w:sz w:val="19"/>
                <w:szCs w:val="19"/>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5.20% notes, due November 2029</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6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5.02% notes, due September 2030</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660" w:type="dxa"/>
            <w:vAlign w:val="bottom"/>
          </w:tcPr>
          <w:p>
            <w:pPr>
              <w:spacing w:after="0"/>
              <w:rPr>
                <w:sz w:val="19"/>
                <w:szCs w:val="19"/>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6.62% notes, due December 2030</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6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5.16% notes, due August 2031</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660" w:type="dxa"/>
            <w:vAlign w:val="bottom"/>
          </w:tcPr>
          <w:p>
            <w:pPr>
              <w:spacing w:after="0"/>
              <w:rPr>
                <w:sz w:val="19"/>
                <w:szCs w:val="19"/>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3.25% notes, due April 2032</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9"/>
        </w:trPr>
        <w:tc>
          <w:tcPr>
            <w:tcW w:w="66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6.71% notes, due December 2033</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60" w:type="dxa"/>
            <w:vAlign w:val="bottom"/>
          </w:tcPr>
          <w:p>
            <w:pPr>
              <w:spacing w:after="0"/>
              <w:rPr>
                <w:sz w:val="19"/>
                <w:szCs w:val="19"/>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2.98% notes, due December 2034</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30"/>
        </w:trPr>
        <w:tc>
          <w:tcPr>
            <w:tcW w:w="66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3.00% notes, due July 2035</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660" w:type="dxa"/>
            <w:vAlign w:val="bottom"/>
          </w:tcPr>
          <w:p>
            <w:pPr>
              <w:spacing w:after="0"/>
              <w:rPr>
                <w:sz w:val="19"/>
                <w:szCs w:val="19"/>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2.96% notes, due August 2035</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66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2.49% notes, due January 2037</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660" w:type="dxa"/>
            <w:vAlign w:val="bottom"/>
          </w:tcPr>
          <w:p>
            <w:pPr>
              <w:spacing w:after="0"/>
              <w:rPr>
                <w:sz w:val="19"/>
                <w:szCs w:val="19"/>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5.43% notes, due March 2038</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30"/>
        </w:trPr>
        <w:tc>
          <w:tcPr>
            <w:tcW w:w="66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3.48% notes, due May 2038</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660" w:type="dxa"/>
            <w:vAlign w:val="bottom"/>
          </w:tcPr>
          <w:p>
            <w:pPr>
              <w:spacing w:after="0"/>
              <w:rPr>
                <w:sz w:val="19"/>
                <w:szCs w:val="19"/>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3.58% notes, due November 2038</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66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6.73% notes, due December 2038</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660" w:type="dxa"/>
            <w:vAlign w:val="bottom"/>
          </w:tcPr>
          <w:p>
            <w:pPr>
              <w:spacing w:after="0"/>
              <w:rPr>
                <w:sz w:val="19"/>
                <w:szCs w:val="19"/>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3.98% notes, due August 2039</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6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2.95% notes, due March 2042</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660" w:type="dxa"/>
            <w:vAlign w:val="bottom"/>
          </w:tcPr>
          <w:p>
            <w:pPr>
              <w:spacing w:after="0"/>
              <w:rPr>
                <w:sz w:val="19"/>
                <w:szCs w:val="19"/>
                <w:color w:val="auto"/>
              </w:rPr>
            </w:pPr>
          </w:p>
        </w:tc>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security note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2.46% note, due September 2031</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660" w:type="dxa"/>
            <w:vAlign w:val="bottom"/>
          </w:tcPr>
          <w:p>
            <w:pPr>
              <w:spacing w:after="0"/>
              <w:rPr>
                <w:sz w:val="19"/>
                <w:szCs w:val="19"/>
                <w:color w:val="auto"/>
              </w:rPr>
            </w:pPr>
          </w:p>
        </w:tc>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660" w:type="dxa"/>
            <w:vAlign w:val="bottom"/>
          </w:tcPr>
          <w:p>
            <w:pPr>
              <w:spacing w:after="0"/>
              <w:rPr>
                <w:sz w:val="19"/>
                <w:szCs w:val="19"/>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1,461.7</w:t>
            </w:r>
          </w:p>
        </w:tc>
      </w:tr>
      <w:tr>
        <w:trPr>
          <w:trHeight w:val="230"/>
        </w:trPr>
        <w:tc>
          <w:tcPr>
            <w:tcW w:w="660" w:type="dxa"/>
            <w:vAlign w:val="bottom"/>
          </w:tcPr>
          <w:p>
            <w:pPr>
              <w:spacing w:after="0"/>
              <w:rPr>
                <w:sz w:val="19"/>
                <w:szCs w:val="19"/>
                <w:color w:val="auto"/>
              </w:rPr>
            </w:pPr>
          </w:p>
        </w:tc>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23"/>
        </w:trPr>
        <w:tc>
          <w:tcPr>
            <w:tcW w:w="660" w:type="dxa"/>
            <w:vAlign w:val="bottom"/>
          </w:tcPr>
          <w:p>
            <w:pPr>
              <w:spacing w:after="0"/>
              <w:rPr>
                <w:sz w:val="19"/>
                <w:szCs w:val="19"/>
                <w:color w:val="auto"/>
              </w:rPr>
            </w:pPr>
          </w:p>
        </w:tc>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 net of current maturities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1,327.1</w:t>
            </w:r>
          </w:p>
        </w:tc>
      </w:tr>
      <w:tr>
        <w:trPr>
          <w:trHeight w:val="20"/>
        </w:trPr>
        <w:tc>
          <w:tcPr>
            <w:tcW w:w="6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Terms of the Senior Notes</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All of our outstanding Senior Notes set forth certain business covenants to which we are subject when any note is outstanding, including covenants that limit or restrict our ability, and the ability of our subsidiaries, to incur indebtedness, or place or permit liens and encumbrances on any of our property or the property of our subsidiaries.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21"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August 2025, we entered into a Note Purchase Agreement for the issuance of Senior Notes in the aggregate principal amount of $200.0 million with an initial funding of $150.0 million in August 2025 and an additional $50.0 million in September 2025. These Senior Notes have an average interest rate of 5.04 percent consisting of $60.0 million of 4.88 percent notes due in August 2028, $50.0 million of 5.02 percent notes due in September 2030, and $90.0 million of 5.16 percent notes due in August 2031. The proceeds received were used to reduce short-term borrowings under our Revolver and to fund capital expenditures. The outstanding principal balance of the Senior Notes will be due on their respective maturity dates with interest payments payable semiannually beginning in 2026</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until the principal has been paid in full. These Senior Notes have similar covenants and default provisions as our other Senior Notes.</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Shelf Agreements</w:t>
      </w:r>
    </w:p>
    <w:p>
      <w:pPr>
        <w:spacing w:after="0" w:line="12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We have entered into Shelf Agreements with Prudential and MetLife, however neither of such lenders have any obligation to purchase debt thereunder. We amended these agreements with Prudential and MetLife in February 2026 and June 2025, respectively, to expand the total borrowing capacity and extend the term of the agreements. At March 31, 2026, a total of $343.3 million of borrowing capacity was available under these agreements with terms that extend through February 2029 and June 2030, respectively.</w:t>
      </w:r>
    </w:p>
    <w:p>
      <w:pPr>
        <w:spacing w:after="0" w:line="31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Short-Term Borrowings</w:t>
      </w:r>
    </w:p>
    <w:p>
      <w:pPr>
        <w:spacing w:after="0" w:line="12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 of March 31, 2026, we are authorized by our BOD to borrow up to $450.0 million of short-term debt, as required. At March 31, 2026 and December 31, 2025, we had $199.6 million and $158.0 million, respectively, of short-term borrowings outstanding at a weighted average interest rate of 4.66 percent and 4.73 percent, respectively. There were no borrowings outstanding under the sustainable investment sublimit of the 364-day tranche at March 31, 2026.</w:t>
      </w:r>
    </w:p>
    <w:p>
      <w:pPr>
        <w:spacing w:after="0" w:line="20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In August 2024, we amended and restated our revolving credit agreement, which increased the total borrowing capacity under the Revolver to $450.0 million, including $250.0 million available under the 364-day tranche and $200.0 million available under the five-year tranche which expires in August 2029. In August 2025, we exercised an option under the Revolver to extend the 364-day tranche through August 2026. All other terms and conditions of the agreement remain unchanged. We may also request increases under the Revolver of up to $50.0 million under the 364-day tranche and up to $100.0 million under the five-year tranche, with the lenders having sole discretion of whether to approve each requested increase. Borrowings under both tranches of the Revolver continue to be subject to a pricing grid, including the commitment fee and the interest rate charged based upon our total indebtedness to total capitalization ratio for the prior quarter. The 364-day tranche continues to bear interest (i) based upon the SOFR, plus a 10-basis point credit spread adjustment, and an applicable margin of 1.05 percent or less, with such margin based on total indebtedness as a percentage of total capitalization or (ii) the base rate, solely at our discretion. The five-year tranche continues to bear interest (i) based upon the SOFR, plus a 10-basis point credit spread adjustment, and an applicable margin of 1.25 percent or less, with such margin based on total indebtedness as a percentage of total capitalization or (ii) the base rate, solely at our discretion.</w:t>
      </w:r>
    </w:p>
    <w:p>
      <w:pPr>
        <w:spacing w:after="0" w:line="21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 xml:space="preserve">We also utilize interest rate swaps to manage rate risk under our Revolver. For additional information on interest rate swaps, including swaps currently in place related to our short-term borrowings, see Note 12,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availability of funds under the Revolver is subject to conditions specified in the credit agreement, all of which we currently satisfy. These conditions include our compliance with financial covenants and the continued accuracy of representations and warranties contained in the Revolver's loan documents. We are required by the financial covenants in the Revolver to maintain, at the end of each fiscal year, a funded indebtedness ratio of no greater than 65 percent. As of March 31, 2026, we were in compliance with this covenant.</w:t>
      </w:r>
    </w:p>
    <w:p>
      <w:pPr>
        <w:spacing w:after="0" w:line="207"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Our total available credit under the Revolver at March 31, 2026 was $245.6 million. As of March 31, 2026, we had issued $4.8 million in letters of credit to various counterparties under the Revolver. These letters of credit are not included in the outstanding short-term borrowings and we do not anticipate that they will be drawn upon by the counterparties. The letters of credit reduce the available borrowings under the Revolver.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designed to provide a reader of the financial statements with a narrative report on our financial condition, results of operations and liquidity. This discussion and analysis should be read in conjunction with the attached unaudited condensed consolidated financial statements and notes thereto and our Annual Report on Form 10-K for the year ended December 31, 2025, including the audited consolidated financial statements and notes thereto.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make statements in this Quarterly Report on Form 10-Q (this "Quarterly Report") that do not directly or exclusively relate to historical facts. Such statements are “forward-looking statements” within the meaning of Section 27A of the Securities Act of 1933, as amended, Section 21E of the Securities Exchange Act of 1934, as amended, and the Private Securities Litigation Reform Act of 1995. One can typically identify forward-looking statements by the use of forward-looking words, such as “project,” “believe,” “expect,” “anticipate,” “intend,” “plan,” “estimate,” “continue,” “potential,” “forecast” or other similar words, or future or conditional verbs such as “may,” “will,” “should,” “would” or “could.” These statements represent our intentions, plans, expectations, assumptions and beliefs about future financial performance, business strategy, projected plans and objectives of the Company. Forward-looking statements speak only as of the date they are made or as of the date indicated and we do not undertake any obligation to update forward-looking statements as a result of new information, future events or otherwise. These statements are subject to many risks and uncertainties. In addition to the risk factors described under Item 1A., Risk Factors in our 2025 Annual Report on Form 10-K, the following important factors, among others, could cause actual future results to differ materially from those expressed in the forward-looking statements:</w:t>
      </w:r>
    </w:p>
    <w:p>
      <w:pPr>
        <w:spacing w:after="0" w:line="86" w:lineRule="exact"/>
        <w:rPr>
          <w:sz w:val="20"/>
          <w:szCs w:val="20"/>
          <w:color w:val="auto"/>
        </w:rPr>
      </w:pPr>
    </w:p>
    <w:p>
      <w:pPr>
        <w:ind w:left="500" w:right="60" w:hanging="330"/>
        <w:spacing w:after="0" w:line="261"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federal legislative and regulatory initiatives that affect cost and investment recovery, have an impact on rate structures, and affect the speed and the degree to which competition enters the electric and natural gas industries;</w:t>
      </w:r>
    </w:p>
    <w:p>
      <w:pPr>
        <w:ind w:left="500" w:right="320" w:hanging="330"/>
        <w:spacing w:after="0" w:line="250"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regulatory, environmental and legal matters, including whether pending matters are resolved within current estimates and within expected times, and whether the related costs are adequately covered by insurance or recoverable in rates;</w:t>
      </w:r>
    </w:p>
    <w:p>
      <w:pPr>
        <w:ind w:left="500" w:right="560" w:hanging="330"/>
        <w:spacing w:after="0" w:line="250"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 change, including the impact of greenhouse gas emissions or other legislation or regulations intended to address climate change;</w:t>
      </w:r>
    </w:p>
    <w:p>
      <w:pPr>
        <w:ind w:left="480" w:hanging="310"/>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significant changes to tax regulations and rates;</w:t>
      </w:r>
    </w:p>
    <w:p>
      <w:pPr>
        <w:spacing w:after="0" w:line="9" w:lineRule="exact"/>
        <w:rPr>
          <w:rFonts w:ascii="Times New Roman" w:cs="Times New Roman" w:eastAsia="Times New Roman" w:hAnsi="Times New Roman"/>
          <w:sz w:val="18"/>
          <w:szCs w:val="18"/>
          <w:color w:val="auto"/>
        </w:rPr>
      </w:pPr>
    </w:p>
    <w:p>
      <w:pPr>
        <w:ind w:left="500" w:right="240" w:hanging="330"/>
        <w:spacing w:after="0" w:line="250"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certification authorizations associated with new capital projects and the ability to construct facilities at or below estimated costs, and within estimated timeframes;</w:t>
      </w:r>
    </w:p>
    <w:p>
      <w:pPr>
        <w:ind w:left="500" w:right="180" w:hanging="330"/>
        <w:spacing w:after="0" w:line="250"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and other laws and regulations to which we are subject and environmental conditions of property that we now, or may in the future, own or operate;</w:t>
      </w:r>
    </w:p>
    <w:p>
      <w:pPr>
        <w:ind w:left="500" w:right="400" w:hanging="330"/>
        <w:spacing w:after="0" w:line="250"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current political environment, including the effects the Presidential administration could have on energy policy, the economy and consumer confidence;</w:t>
      </w:r>
    </w:p>
    <w:p>
      <w:pPr>
        <w:ind w:left="480" w:hanging="310"/>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increased federal, state and local regulation of the safety of our operations;</w:t>
      </w:r>
    </w:p>
    <w:p>
      <w:pPr>
        <w:spacing w:after="0" w:line="9" w:lineRule="exact"/>
        <w:rPr>
          <w:rFonts w:ascii="Times New Roman" w:cs="Times New Roman" w:eastAsia="Times New Roman" w:hAnsi="Times New Roman"/>
          <w:sz w:val="18"/>
          <w:szCs w:val="18"/>
          <w:color w:val="auto"/>
        </w:rPr>
      </w:pPr>
    </w:p>
    <w:p>
      <w:pPr>
        <w:ind w:left="500" w:right="820" w:hanging="330"/>
        <w:spacing w:after="0" w:line="250"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reliability of adequate technology, including our ability to adapt to technological advances, effectively implement new technologies and manage the related costs;</w:t>
      </w:r>
    </w:p>
    <w:p>
      <w:pPr>
        <w:ind w:left="480" w:hanging="310"/>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hazards and risks involved in transporting and distributing natural gas, electricity and propane;</w:t>
      </w:r>
    </w:p>
    <w:p>
      <w:pPr>
        <w:spacing w:after="0" w:line="9" w:lineRule="exact"/>
        <w:rPr>
          <w:rFonts w:ascii="Times New Roman" w:cs="Times New Roman" w:eastAsia="Times New Roman" w:hAnsi="Times New Roman"/>
          <w:sz w:val="18"/>
          <w:szCs w:val="18"/>
          <w:color w:val="auto"/>
        </w:rPr>
      </w:pPr>
    </w:p>
    <w:p>
      <w:pPr>
        <w:ind w:left="500" w:right="60" w:hanging="330"/>
        <w:spacing w:after="0" w:line="250"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economy in our service territories or markets, the nation, and worldwide, including the impact of economic conditions (which we do not control) such as the risk and uncertainties associated with tariffs and trade wars, on demand for natural gas, electricity, propane or other fuels;</w:t>
      </w:r>
    </w:p>
    <w:p>
      <w:pPr>
        <w:ind w:left="500" w:right="220" w:hanging="330"/>
        <w:spacing w:after="0" w:line="250"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cyber-attacks or cyber-terrorism that could disrupt our business operations or result in failure of information technology systems or result in the loss or exposure of confidential or sensitive customer, employee or Company information;</w:t>
      </w:r>
    </w:p>
    <w:p>
      <w:pPr>
        <w:ind w:left="480" w:hanging="310"/>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relating to the implementation and effective use of technologies to support our business, including artificial intelligence;</w:t>
      </w:r>
    </w:p>
    <w:p>
      <w:pPr>
        <w:spacing w:after="0" w:line="9"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including the effects of hurricanes, ice storms and other damaging weather events;</w:t>
      </w:r>
    </w:p>
    <w:p>
      <w:pPr>
        <w:spacing w:after="0" w:line="9"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preferred energy sources and our expectations regarding customer consumption;</w:t>
      </w:r>
    </w:p>
    <w:p>
      <w:pPr>
        <w:spacing w:after="0" w:line="9"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commercial and residential growth or contraction in our markets or service territories;</w:t>
      </w:r>
    </w:p>
    <w:p>
      <w:pPr>
        <w:spacing w:after="0" w:line="9"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competition on our businesses from other energy suppliers and alternative forms of energy;</w:t>
      </w:r>
    </w:p>
    <w:p>
      <w:pPr>
        <w:spacing w:after="0" w:line="9"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changes in commodity prices and interest rates;</w:t>
      </w:r>
    </w:p>
    <w:p>
      <w:pPr>
        <w:spacing w:after="0" w:line="9"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spot, forward and future market prices on our various energy businesses;</w:t>
      </w:r>
    </w:p>
    <w:p>
      <w:pPr>
        <w:spacing w:after="0" w:line="9" w:lineRule="exact"/>
        <w:rPr>
          <w:rFonts w:ascii="Times New Roman" w:cs="Times New Roman" w:eastAsia="Times New Roman" w:hAnsi="Times New Roman"/>
          <w:sz w:val="18"/>
          <w:szCs w:val="18"/>
          <w:color w:val="auto"/>
        </w:rPr>
      </w:pPr>
    </w:p>
    <w:p>
      <w:pPr>
        <w:ind w:left="500" w:right="600" w:hanging="330"/>
        <w:spacing w:after="0" w:line="250" w:lineRule="auto"/>
        <w:tabs>
          <w:tab w:leader="none" w:pos="4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our success in connecting natural gas and electric supplies to our transmission systems, establishing and maintaining key supply sources, and expanding natural gas and electric markets;</w:t>
      </w:r>
    </w:p>
    <w:p>
      <w:pPr>
        <w:ind w:left="480" w:hanging="310"/>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creditworthiness of counterparties with which we are engaged in transactions;</w:t>
      </w:r>
    </w:p>
    <w:p>
      <w:pPr>
        <w:spacing w:after="0" w:line="9"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capital-intensive nature of our regulated energy businesses;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ind w:left="500" w:right="420" w:hanging="330"/>
        <w:spacing w:after="0" w:line="261" w:lineRule="auto"/>
        <w:tabs>
          <w:tab w:leader="none" w:pos="4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credit and capital markets to execute our business strategy, including our ability to obtain financing on favorable terms, which can be affected by various factors, including credit ratings and general economic conditions;</w:t>
      </w:r>
    </w:p>
    <w:p>
      <w:pPr>
        <w:ind w:left="500" w:right="400" w:hanging="330"/>
        <w:spacing w:after="0" w:line="250" w:lineRule="auto"/>
        <w:tabs>
          <w:tab w:leader="none" w:pos="4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execute, manage and integrate a merger, acquisition or divestiture of assets or businesses and the related regulatory or other conditions associated with the merger, acquisition or divestiture;</w:t>
      </w:r>
    </w:p>
    <w:p>
      <w:pPr>
        <w:ind w:left="500" w:right="320" w:hanging="330"/>
        <w:spacing w:after="0" w:line="250" w:lineRule="auto"/>
        <w:tabs>
          <w:tab w:leader="none" w:pos="4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costs and funding obligations, under our pension and other postretirement benefit plans, of potential downturns in the financial markets, lower discount rates, and costs associated with health care legislation and regulation;</w:t>
      </w:r>
    </w:p>
    <w:p>
      <w:pPr>
        <w:ind w:left="480" w:hanging="310"/>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continue to hire, train and retain appropriately qualified personnel;</w:t>
      </w:r>
    </w:p>
    <w:p>
      <w:pPr>
        <w:spacing w:after="0" w:line="9"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competition for, qualified personnel supporting our natural gas, electricity and propane businesses;</w:t>
      </w:r>
    </w:p>
    <w:p>
      <w:pPr>
        <w:spacing w:after="0" w:line="9"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accounting pronouncements issued periodically by accounting standard-setting bodies; and</w:t>
      </w:r>
    </w:p>
    <w:p>
      <w:pPr>
        <w:spacing w:after="0" w:line="9" w:lineRule="exact"/>
        <w:rPr>
          <w:rFonts w:ascii="Times New Roman" w:cs="Times New Roman" w:eastAsia="Times New Roman" w:hAnsi="Times New Roman"/>
          <w:sz w:val="18"/>
          <w:szCs w:val="18"/>
          <w:color w:val="auto"/>
        </w:rPr>
      </w:pPr>
    </w:p>
    <w:p>
      <w:pPr>
        <w:ind w:left="500" w:right="220" w:hanging="330"/>
        <w:spacing w:after="0" w:line="255" w:lineRule="auto"/>
        <w:tabs>
          <w:tab w:leader="none" w:pos="4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associated with a pandemic, including the duration and scope of the pandemic the corresponding impact on our supply chains, our personnel, our contract counterparties, general economic conditions and growth, the financial markets and any costs to comply with governmental mandates.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Chesapeake Utilities Corporation is a Delaware corporation formed in 1947 with operations primarily in the Mid-Atlantic region, North Carolina, South Carolina, Florida and Ohio. We are an energy delivery company engaged in the distribution of natural gas, electricity and propane, the transmission of natural gas, the generation of electricity and steam, and in providing mobile compressed natural gas and other energy-related services to our customers.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strategy is focused on growing earnings from a stable regulated energy delivery foundation and investing in related businesses and services that together provide opportunities for returns greater than traditional utility returns. We seek to identify and develop opportunities across the energy value chain, with emphasis on regulated midstream and downstream investments that are accretive to earnings per share and create opportunities to continue our record of top tier returns on equity relative to our peer group. The Company’s growth strategy includes the continued investment and expansion of the Company’s regulated operations that provide a stable base of earnings, as well as investments in other related non-regulated businesses and services including sustainable investments, such as renewable natural gas-related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23430" cy="19716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3430" cy="1971675"/>
                    </a:xfrm>
                    <a:prstGeom prst="rect">
                      <a:avLst/>
                    </a:prstGeom>
                    <a:noFill/>
                  </pic:spPr>
                </pic:pic>
              </a:graphicData>
            </a:graphic>
          </wp:anchor>
        </w:drawing>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Currently, our growth strategy is focused on the following platforms, including:</w:t>
      </w:r>
    </w:p>
    <w:p>
      <w:pPr>
        <w:spacing w:after="0" w:line="11" w:lineRule="exact"/>
        <w:rPr>
          <w:sz w:val="20"/>
          <w:szCs w:val="20"/>
          <w:color w:val="auto"/>
        </w:rPr>
      </w:pPr>
    </w:p>
    <w:p>
      <w:pPr>
        <w:ind w:left="680" w:hanging="317"/>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Prudently deploying investment capital.</w:t>
      </w:r>
    </w:p>
    <w:p>
      <w:pPr>
        <w:ind w:left="1180" w:right="60" w:hanging="331"/>
        <w:spacing w:after="0" w:line="241" w:lineRule="auto"/>
        <w:tabs>
          <w:tab w:leader="none" w:pos="11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the earnings growth in our existing businesses, which includes organic growth, territory expansions, and new products and services.</w:t>
      </w:r>
    </w:p>
    <w:p>
      <w:pPr>
        <w:spacing w:after="0" w:line="1" w:lineRule="exact"/>
        <w:rPr>
          <w:rFonts w:ascii="Times New Roman" w:cs="Times New Roman" w:eastAsia="Times New Roman" w:hAnsi="Times New Roman"/>
          <w:sz w:val="18"/>
          <w:szCs w:val="18"/>
          <w:color w:val="auto"/>
        </w:rPr>
      </w:pPr>
    </w:p>
    <w:p>
      <w:pPr>
        <w:ind w:left="1160" w:hanging="311"/>
        <w:spacing w:after="0"/>
        <w:tabs>
          <w:tab w:leader="none" w:pos="11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pursuit of additional pipeline expansions, including new interstate and intrastate transmission projects.</w:t>
      </w:r>
    </w:p>
    <w:p>
      <w:pPr>
        <w:spacing w:after="0" w:line="9" w:lineRule="exact"/>
        <w:rPr>
          <w:rFonts w:ascii="Times New Roman" w:cs="Times New Roman" w:eastAsia="Times New Roman" w:hAnsi="Times New Roman"/>
          <w:sz w:val="18"/>
          <w:szCs w:val="18"/>
          <w:color w:val="auto"/>
        </w:rPr>
      </w:pPr>
    </w:p>
    <w:p>
      <w:pPr>
        <w:ind w:left="1160" w:hanging="311"/>
        <w:spacing w:after="0"/>
        <w:tabs>
          <w:tab w:leader="none" w:pos="11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of Marlin Gas Services’ CNG transport business and expansion into LNG and RNG transport services as well as methane capture.</w:t>
      </w:r>
    </w:p>
    <w:p>
      <w:pPr>
        <w:spacing w:after="0" w:line="9" w:lineRule="exact"/>
        <w:rPr>
          <w:rFonts w:ascii="Times New Roman" w:cs="Times New Roman" w:eastAsia="Times New Roman" w:hAnsi="Times New Roman"/>
          <w:sz w:val="18"/>
          <w:szCs w:val="18"/>
          <w:color w:val="auto"/>
        </w:rPr>
      </w:pPr>
    </w:p>
    <w:p>
      <w:pPr>
        <w:ind w:left="1180" w:right="280" w:hanging="331"/>
        <w:spacing w:after="0" w:line="250" w:lineRule="auto"/>
        <w:tabs>
          <w:tab w:leader="none" w:pos="117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undertaking additional strategic propane acquisitions that provide a larger foundation in current markets and expand our brand and presence into new strategic growth markets.</w:t>
      </w:r>
    </w:p>
    <w:p>
      <w:pPr>
        <w:ind w:left="1180" w:right="700" w:hanging="331"/>
        <w:spacing w:after="0" w:line="243" w:lineRule="auto"/>
        <w:tabs>
          <w:tab w:leader="none" w:pos="117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current capabilities, including our integrated set of energy delivery businesses, to support and contribute to a more sustainable future.</w:t>
      </w:r>
    </w:p>
    <w:p>
      <w:pPr>
        <w:spacing w:after="0" w:line="1" w:lineRule="exact"/>
        <w:rPr>
          <w:rFonts w:ascii="Times New Roman" w:cs="Times New Roman" w:eastAsia="Times New Roman" w:hAnsi="Times New Roman"/>
          <w:sz w:val="18"/>
          <w:szCs w:val="18"/>
          <w:color w:val="auto"/>
        </w:rPr>
      </w:pPr>
    </w:p>
    <w:p>
      <w:pPr>
        <w:ind w:left="680" w:hanging="317"/>
        <w:spacing w:after="0" w:line="234"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Proactively managing our regulatory agenda.</w:t>
      </w:r>
    </w:p>
    <w:p>
      <w:pPr>
        <w:ind w:left="1160" w:hanging="311"/>
        <w:spacing w:after="0" w:line="234" w:lineRule="auto"/>
        <w:tabs>
          <w:tab w:leader="none" w:pos="11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regulatory initiatives that align with our growth strategy and investment plans.</w:t>
      </w:r>
    </w:p>
    <w:p>
      <w:pPr>
        <w:ind w:left="680" w:hanging="317"/>
        <w:spacing w:after="0" w:line="234"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Continually executing on our business transformation initiatives.</w:t>
      </w:r>
    </w:p>
    <w:p>
      <w:pPr>
        <w:ind w:left="1160" w:hanging="311"/>
        <w:spacing w:after="0"/>
        <w:tabs>
          <w:tab w:leader="none" w:pos="11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opportunities to transform the Company with a focus on people, process, technology and organizational structure.</w:t>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seasonality of our business, results for interim periods are not necessarily indicative of results for the entire fiscal year. Revenue and earnings are typically greater during the first and fourth quarters, when consumption of energy is normally highest due to colder temperatures.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Across the Company</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focus on sustainability is supported and shared across the organization by the dedication and efforts of our BOD and its Committees, as well as the entrepreneurship and dedication of our team. As stewards of long-term enterprise value, our BOD is committed to overseeing the sustainability of the Company, its environmental stewardship initiatives, its safety and operational compliance practices.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commitments guide our mission to deliver energy that makes life better for the people and communities we serve. They impact every aspect of the relationships we have with our stakeholders. Within our 2025 Annual Report to Shareholders, we continued to highlight our ongoing efforts related to these commitments. We encourage our investors to review the 2025 Annual Report to Shareholders, as well as our prior micro and consolidated sustainability reports, which can be accessed on our website.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document, including the tables herein, include references to both Generally Accepted Accounting Principles ("GAAP") and non-GAAP financial measures, including Adjusted Gross Margin, Adjusted Net Income and Adjusted EPS. A "non-GAAP financial measure" is generally defined as a numerical measure of a company's historical or future performance that includes or excludes amounts, or that is subject to adjustments, so as to be different from the most directly comparable measure calculated or presented in accordance with GAAP. Our management believes certain non-GAAP financial measures, when considered together with GAAP financial measures, provide information that is useful to investors in understanding period-over-period operating results separate and apart from items that may, or could, have a disproportionately positive or negative impact on results in any particular period.</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We calculate Adjusted Gross Margin by deducting the purchased cost of natural gas, propane and electricity and the cost of labor spent on direct revenue-producing activities from operating revenues. The costs included in Adjusted Gross Margin exclude depreciation and amortization and certain costs presented in operations and maintenance expenses in accordance with regulatory requirements. We calculate Adjusted Net Income and Adjusted EPS by deducting non-recurring costs and expenses associated with significant acquisitions that may affect the comparison of period-over-period results. These non-GAAP financial measures are not in accordance with, or an alternative to, GAAP and should be considered in addition to, and not as a substitute for, the comparable GAAP measures. The Company believes that these non-GAAP financial measures are useful and meaningful to investors as a basis for making investment decisions, and provide investors with information that demonstrates the profitability achieved by the Company under allowed rates for regulated energy operations and under the Company's competitive pricing structures for unregulated energy operations. The Company's management uses these non-GAAP financial measures in assessing a business unit's and the overall Company performance. Other companies may calculate these non-GAAP financial measures in a different manner.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noted, EPS and Adjusted EPS information are presented on a diluted basis.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reconcile Gross Margin, Net Income, and EPS, all as defined under GAAP, to our non-GAAP financial measures of Adjusted Gross Margin, Adjusted Net Income and Adjusted EPS for the three months ended March 31, 2026 and 2025:</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182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Regulated Energy</w:t>
            </w:r>
          </w:p>
        </w:tc>
        <w:tc>
          <w:tcPr>
            <w:tcW w:w="140" w:type="dxa"/>
            <w:vAlign w:val="bottom"/>
          </w:tcPr>
          <w:p>
            <w:pPr>
              <w:spacing w:after="0"/>
              <w:rPr>
                <w:sz w:val="14"/>
                <w:szCs w:val="14"/>
                <w:color w:val="auto"/>
              </w:rPr>
            </w:pPr>
          </w:p>
        </w:tc>
        <w:tc>
          <w:tcPr>
            <w:tcW w:w="1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Unregulated Energy</w:t>
            </w:r>
          </w:p>
        </w:tc>
        <w:tc>
          <w:tcPr>
            <w:tcW w:w="140" w:type="dxa"/>
            <w:vAlign w:val="bottom"/>
          </w:tcPr>
          <w:p>
            <w:pPr>
              <w:spacing w:after="0"/>
              <w:rPr>
                <w:sz w:val="14"/>
                <w:szCs w:val="14"/>
                <w:color w:val="auto"/>
              </w:rPr>
            </w:pPr>
          </w:p>
        </w:tc>
        <w:tc>
          <w:tcPr>
            <w:tcW w:w="19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Other Businesses and</w:t>
            </w:r>
          </w:p>
        </w:tc>
        <w:tc>
          <w:tcPr>
            <w:tcW w:w="440" w:type="dxa"/>
            <w:vAlign w:val="bottom"/>
          </w:tcPr>
          <w:p>
            <w:pPr>
              <w:spacing w:after="0"/>
              <w:rPr>
                <w:sz w:val="14"/>
                <w:szCs w:val="14"/>
                <w:color w:val="auto"/>
              </w:rPr>
            </w:pPr>
          </w:p>
        </w:tc>
        <w:tc>
          <w:tcPr>
            <w:tcW w:w="150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21"/>
                <w:szCs w:val="21"/>
                <w:color w:val="auto"/>
              </w:rPr>
            </w:pPr>
          </w:p>
        </w:tc>
        <w:tc>
          <w:tcPr>
            <w:tcW w:w="18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44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353.1</w:t>
            </w: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40" w:type="dxa"/>
            <w:vAlign w:val="bottom"/>
            <w:gridSpan w:val="2"/>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Natural gas, propane and electric</w:t>
            </w:r>
          </w:p>
        </w:tc>
        <w:tc>
          <w:tcPr>
            <w:tcW w:w="2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costs</w:t>
            </w: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30"/>
        </w:trPr>
        <w:tc>
          <w:tcPr>
            <w:tcW w:w="3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175"/>
        </w:trPr>
        <w:tc>
          <w:tcPr>
            <w:tcW w:w="3140" w:type="dxa"/>
            <w:vAlign w:val="bottom"/>
            <w:gridSpan w:val="2"/>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Operations &amp; maintenance expenses</w:t>
            </w:r>
          </w:p>
        </w:tc>
        <w:tc>
          <w:tcPr>
            <w:tcW w:w="20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(1)</w:t>
            </w:r>
          </w:p>
        </w:tc>
        <w:tc>
          <w:tcPr>
            <w:tcW w:w="13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157.2</w:t>
            </w: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Operations &amp; maintenance expenses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48"/>
        </w:trPr>
        <w:tc>
          <w:tcPr>
            <w:tcW w:w="3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Margin (Non-GAAP)</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206.2</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1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Regulated Energy</w:t>
            </w:r>
          </w:p>
        </w:tc>
        <w:tc>
          <w:tcPr>
            <w:tcW w:w="140" w:type="dxa"/>
            <w:vAlign w:val="bottom"/>
          </w:tcPr>
          <w:p>
            <w:pPr>
              <w:spacing w:after="0"/>
              <w:rPr>
                <w:sz w:val="14"/>
                <w:szCs w:val="14"/>
                <w:color w:val="auto"/>
              </w:rPr>
            </w:pPr>
          </w:p>
        </w:tc>
        <w:tc>
          <w:tcPr>
            <w:tcW w:w="1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Unregulated Energy</w:t>
            </w:r>
          </w:p>
        </w:tc>
        <w:tc>
          <w:tcPr>
            <w:tcW w:w="140" w:type="dxa"/>
            <w:vAlign w:val="bottom"/>
          </w:tcPr>
          <w:p>
            <w:pPr>
              <w:spacing w:after="0"/>
              <w:rPr>
                <w:sz w:val="14"/>
                <w:szCs w:val="14"/>
                <w:color w:val="auto"/>
              </w:rPr>
            </w:pPr>
          </w:p>
        </w:tc>
        <w:tc>
          <w:tcPr>
            <w:tcW w:w="19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Other Businesses and</w:t>
            </w:r>
          </w:p>
        </w:tc>
        <w:tc>
          <w:tcPr>
            <w:tcW w:w="440" w:type="dxa"/>
            <w:vAlign w:val="bottom"/>
          </w:tcPr>
          <w:p>
            <w:pPr>
              <w:spacing w:after="0"/>
              <w:rPr>
                <w:sz w:val="14"/>
                <w:szCs w:val="14"/>
                <w:color w:val="auto"/>
              </w:rPr>
            </w:pPr>
          </w:p>
        </w:tc>
        <w:tc>
          <w:tcPr>
            <w:tcW w:w="150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21"/>
                <w:szCs w:val="21"/>
                <w:color w:val="auto"/>
              </w:rPr>
            </w:pPr>
          </w:p>
        </w:tc>
        <w:tc>
          <w:tcPr>
            <w:tcW w:w="18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44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298.7</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Natural gas, propane and electric</w:t>
            </w:r>
          </w:p>
        </w:tc>
        <w:tc>
          <w:tcPr>
            <w:tcW w:w="2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costs</w:t>
            </w: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30"/>
        </w:trPr>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175"/>
        </w:trPr>
        <w:tc>
          <w:tcPr>
            <w:tcW w:w="31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Operations &amp; maintenance expenses</w:t>
            </w:r>
          </w:p>
        </w:tc>
        <w:tc>
          <w:tcPr>
            <w:tcW w:w="20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137.2</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Operations &amp; maintenance expenses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4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Margin (Non-GAAP)</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182.4</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ind w:firstLine="8"/>
        <w:spacing w:after="0" w:line="607" w:lineRule="auto"/>
        <w:tabs>
          <w:tab w:leader="none" w:pos="132" w:val="left"/>
        </w:tabs>
        <w:numPr>
          <w:ilvl w:val="0"/>
          <w:numId w:val="2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Operations &amp; maintenance expenses within the condensed consolidated statements of income are presented in accordance with regulatory requirements and to provide comparability within the industry. Operations &amp; maintenance expenses which are deemed to be directly attributable to revenue producing activities have been separately presented above in order to calculate Gross Margin as defined under GAAP.</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to 2025 Gross Margin (GAAP) Variance – Regulated Energy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(GAAP) for the Regulated Energy segment for the three months ended March 31, 2026 was $114.9 million, an increase of $17.7 million, or 18.2 percent, compared to the same period in 2025. The increase in gross margin largely reflects incremental margin from regulatory initiatives and infrastructure programs, pipeline expansion projects, and organic growth in our natural gas distribution businesses.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to 2025 Gross Margin (GAAP) Variance – Unregulated Energy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 (GAAP) for the Unregulated Energy segment for the three months ended March 31, 2026 was $42.3 million, an increase of $2.4 million, or 6.0 percent, compared to the same period in 2025. The increase in gross margin was primarily attributable to higher results from our propane distribution business largely attributable to increased customer consumption from colder year-over-year weather in our Delmarva service areas, and increased performance from Aspire Energy.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Adjusted Net Income and Adjusted EPS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r>
      <w:tr>
        <w:trPr>
          <w:trHeight w:val="223"/>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shares in thousands (except per share data))</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9"/>
        </w:trPr>
        <w:tc>
          <w:tcPr>
            <w:tcW w:w="8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FCG transaction and transition-related expenses, net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8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(Non-GAAP)</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5"/>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23,041</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Diluted (GAAP)</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8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FCG transaction and transition-related expenses, net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48"/>
        </w:trPr>
        <w:tc>
          <w:tcPr>
            <w:tcW w:w="8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 - Diluted (Non-GAAP)</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firstLine="8"/>
        <w:spacing w:after="0" w:line="302" w:lineRule="auto"/>
        <w:tabs>
          <w:tab w:leader="none" w:pos="146"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Transaction and transition-related expenses represent non-recurring costs incurred attributable to the acquisition and integration of FCG including, but not limited to, transition services, consulting, system integration, rebranding, and legal fees.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to 2025 Net Income (GAAP) Variance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Net income (GAAP) for the three months ended March 31, 2026 was $59.3 million, or $2.47 per share, compared to $50.9 million, or $2.21 per share, for the same quarter of 2025. Net income for the three months ended </w:t>
      </w:r>
      <w:r>
        <w:rPr>
          <w:rFonts w:ascii="Times New Roman" w:cs="Times New Roman" w:eastAsia="Times New Roman" w:hAnsi="Times New Roman"/>
          <w:sz w:val="16"/>
          <w:szCs w:val="16"/>
          <w:color w:val="auto"/>
        </w:rPr>
        <w:t>March 31,</w:t>
      </w:r>
      <w:r>
        <w:rPr>
          <w:rFonts w:ascii="Times New Roman" w:cs="Times New Roman" w:eastAsia="Times New Roman" w:hAnsi="Times New Roman"/>
          <w:sz w:val="18"/>
          <w:szCs w:val="18"/>
          <w:color w:val="auto"/>
        </w:rPr>
        <w:t xml:space="preserve"> 2025 included $0.2 million of transaction and transition-related expenses in connection with the acquisition and integration of FCG. Excluding these costs, net income increased by $8.2 million or 16.0 percent compared to the prior-year period.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adjusted net income for the three months ended March 31, 2026 was $59.3 million, or $2.47 per share, compared to $51.1 million, or $2.22 per share, for the same period in 2025. Operating income for the first three months of 2026 was $99.4 million, an increase of $12.6 million compared to the same period in 2025. Excluding transaction and transition-related expenses associated with the acquisition and integration of FCG, operating income increased $12.3 million or 14.1 percent compared to the prior-year period. The increase in adjusted gross margin in the first quarter of 2026 was primarily driven by incremental margin from regulatory initiatives and infrastructure programs, pipeline expansion projects and natural gas organic growth, increased customer consumption resulting from year-over-year colder temperatures largely in the Company's Delmarva service areas, and improved performance at Aspire Energy. Higher operating expenses were driven largely by increased payroll, benefits and other employee-related expenses and higher facilities, maintenance costs and outside services compared to the prior-year period. Depreciation and amortization expense for the current period includes decreases related to certain regulatory items including the absence of recovered costs associated with Hurricane Michael and the impact of the FCG depreciation study. These amounts were largely offset by additional depreciation, amortization and property taxes associated with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80" w:type="dxa"/>
            <w:vAlign w:val="bottom"/>
          </w:tcPr>
          <w:p>
            <w:pPr>
              <w:spacing w:after="0"/>
              <w:rPr>
                <w:sz w:val="19"/>
                <w:szCs w:val="19"/>
                <w:color w:val="auto"/>
              </w:rPr>
            </w:pPr>
          </w:p>
        </w:tc>
        <w:tc>
          <w:tcPr>
            <w:tcW w:w="25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8"/>
        </w:trPr>
        <w:tc>
          <w:tcPr>
            <w:tcW w:w="66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23"/>
        </w:trPr>
        <w:tc>
          <w:tcPr>
            <w:tcW w:w="66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173"/>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shares (thousands) and per share data)</w:t>
            </w: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5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Regulated Energy segment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9"/>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Unregulated Energy segment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Businesses and Eliminations</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Adjusted Gross Margin</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206.2</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6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Regulated Energy segment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Unregulated Energy segment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Businesses and Eliminations</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9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w:t>
            </w:r>
          </w:p>
        </w:tc>
        <w:tc>
          <w:tcPr>
            <w:tcW w:w="1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charges</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1"/>
        </w:trPr>
        <w:tc>
          <w:tcPr>
            <w:tcW w:w="66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940" w:type="dxa"/>
            <w:vAlign w:val="bottom"/>
            <w:tcBorders>
              <w:bottom w:val="single" w:sz="8" w:color="auto"/>
            </w:tcBorders>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59.3</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23,937</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22,957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30"/>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24,053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23,041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57"/>
        </w:trPr>
        <w:tc>
          <w:tcPr>
            <w:tcW w:w="6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of Common Stock</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c>
          <w:tcPr>
            <w:tcW w:w="120" w:type="dxa"/>
            <w:vAlign w:val="bottom"/>
          </w:tcPr>
          <w:p>
            <w:pPr>
              <w:spacing w:after="0"/>
              <w:rPr>
                <w:sz w:val="19"/>
                <w:szCs w:val="19"/>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30"/>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57"/>
        </w:trPr>
        <w:tc>
          <w:tcPr>
            <w:tcW w:w="6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and Adjusted Earnings Per Share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c>
          <w:tcPr>
            <w:tcW w:w="120" w:type="dxa"/>
            <w:vAlign w:val="bottom"/>
          </w:tcPr>
          <w:p>
            <w:pPr>
              <w:spacing w:after="0"/>
              <w:rPr>
                <w:sz w:val="19"/>
                <w:szCs w:val="19"/>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6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FCG transaction and transition-related expenses, net </w:t>
            </w:r>
            <w:r>
              <w:rPr>
                <w:rFonts w:ascii="Times New Roman" w:cs="Times New Roman" w:eastAsia="Times New Roman" w:hAnsi="Times New Roman"/>
                <w:sz w:val="23"/>
                <w:szCs w:val="23"/>
                <w:color w:val="auto"/>
                <w:vertAlign w:val="superscript"/>
              </w:rPr>
              <w:t>(1)</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(Non-GAAP)</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59.3</w:t>
            </w: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4"/>
        </w:trPr>
        <w:tc>
          <w:tcPr>
            <w:tcW w:w="6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Diluted (GAAP)</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120" w:type="dxa"/>
            <w:vAlign w:val="bottom"/>
          </w:tcPr>
          <w:p>
            <w:pPr>
              <w:spacing w:after="0"/>
              <w:rPr>
                <w:sz w:val="19"/>
                <w:szCs w:val="19"/>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30"/>
        </w:trPr>
        <w:tc>
          <w:tcPr>
            <w:tcW w:w="6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FCG transaction and transition-related expenses, net </w:t>
            </w:r>
            <w:r>
              <w:rPr>
                <w:rFonts w:ascii="Times New Roman" w:cs="Times New Roman" w:eastAsia="Times New Roman" w:hAnsi="Times New Roman"/>
                <w:sz w:val="23"/>
                <w:szCs w:val="23"/>
                <w:color w:val="auto"/>
                <w:vertAlign w:val="superscript"/>
              </w:rPr>
              <w:t>(1)</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 - Diluted (Non-GAAP)</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firstLine="8"/>
        <w:spacing w:after="0"/>
        <w:tabs>
          <w:tab w:leader="none" w:pos="132" w:val="left"/>
        </w:tabs>
        <w:numPr>
          <w:ilvl w:val="0"/>
          <w:numId w:val="2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Transaction and transition-related expenses represent costs incurred attributable to the acquisition and integration of FCG including, but not limited to, transition services, consulting, system integration, rebranding and legal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Key variances between the three months ended March 31, 2025 and March 31, 2026 included:</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97"/>
        </w:trPr>
        <w:tc>
          <w:tcPr>
            <w:tcW w:w="4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Pre-tax</w:t>
            </w:r>
          </w:p>
        </w:tc>
        <w:tc>
          <w:tcPr>
            <w:tcW w:w="220" w:type="dxa"/>
            <w:vAlign w:val="bottom"/>
          </w:tcPr>
          <w:p>
            <w:pPr>
              <w:spacing w:after="0"/>
              <w:rPr>
                <w:sz w:val="24"/>
                <w:szCs w:val="2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Net</w:t>
            </w:r>
          </w:p>
        </w:tc>
        <w:tc>
          <w:tcPr>
            <w:tcW w:w="160" w:type="dxa"/>
            <w:vAlign w:val="bottom"/>
          </w:tcPr>
          <w:p>
            <w:pPr>
              <w:spacing w:after="0"/>
              <w:rPr>
                <w:sz w:val="24"/>
                <w:szCs w:val="24"/>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41"/>
        </w:trPr>
        <w:tc>
          <w:tcPr>
            <w:tcW w:w="40" w:type="dxa"/>
            <w:vAlign w:val="bottom"/>
          </w:tcPr>
          <w:p>
            <w:pPr>
              <w:spacing w:after="0"/>
              <w:rPr>
                <w:sz w:val="20"/>
                <w:szCs w:val="20"/>
                <w:color w:val="auto"/>
              </w:rPr>
            </w:pPr>
          </w:p>
        </w:tc>
        <w:tc>
          <w:tcPr>
            <w:tcW w:w="7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2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6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25"/>
        </w:trPr>
        <w:tc>
          <w:tcPr>
            <w:tcW w:w="40" w:type="dxa"/>
            <w:vAlign w:val="bottom"/>
          </w:tcPr>
          <w:p>
            <w:pPr>
              <w:spacing w:after="0"/>
              <w:rPr>
                <w:sz w:val="19"/>
                <w:szCs w:val="19"/>
                <w:color w:val="auto"/>
              </w:rPr>
            </w:pPr>
          </w:p>
        </w:tc>
        <w:tc>
          <w:tcPr>
            <w:tcW w:w="722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 xml:space="preserve">Three Months Ended March 31, 2025 Adjusted Results </w:t>
            </w:r>
            <w:r>
              <w:rPr>
                <w:rFonts w:ascii="Times New Roman" w:cs="Times New Roman" w:eastAsia="Times New Roman" w:hAnsi="Times New Roman"/>
                <w:sz w:val="23"/>
                <w:szCs w:val="23"/>
                <w:b w:val="1"/>
                <w:bCs w:val="1"/>
                <w:color w:val="auto"/>
                <w:vertAlign w:val="superscript"/>
              </w:rPr>
              <w:t>(1)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0C0C0C"/>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C0C0C"/>
              </w:rPr>
              <w:t>69.7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0C0C0C"/>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C0C0C"/>
              </w:rPr>
              <w:t>51.1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2.22</w:t>
            </w:r>
          </w:p>
        </w:tc>
      </w:tr>
      <w:tr>
        <w:trPr>
          <w:trHeight w:val="250"/>
        </w:trPr>
        <w:tc>
          <w:tcPr>
            <w:tcW w:w="4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Adjusted Gross Margins: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Natural gas transmission service expansions, including interim services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40" w:type="dxa"/>
            <w:vAlign w:val="bottom"/>
          </w:tcPr>
          <w:p>
            <w:pPr>
              <w:spacing w:after="0"/>
              <w:rPr>
                <w:sz w:val="19"/>
                <w:szCs w:val="19"/>
                <w:color w:val="auto"/>
              </w:rPr>
            </w:pPr>
          </w:p>
        </w:tc>
        <w:tc>
          <w:tcPr>
            <w:tcW w:w="7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Contributions from regulated infrastructure programs </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0.17</w:t>
            </w:r>
          </w:p>
        </w:tc>
      </w:tr>
      <w:tr>
        <w:trPr>
          <w:trHeight w:val="230"/>
        </w:trPr>
        <w:tc>
          <w:tcPr>
            <w:tcW w:w="40" w:type="dxa"/>
            <w:vAlign w:val="bottom"/>
          </w:tcPr>
          <w:p>
            <w:pPr>
              <w:spacing w:after="0"/>
              <w:rPr>
                <w:sz w:val="19"/>
                <w:szCs w:val="19"/>
                <w:color w:val="auto"/>
              </w:rPr>
            </w:pP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customer consumption</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0.14</w:t>
            </w:r>
          </w:p>
        </w:tc>
      </w:tr>
      <w:tr>
        <w:trPr>
          <w:trHeight w:val="229"/>
        </w:trPr>
        <w:tc>
          <w:tcPr>
            <w:tcW w:w="40" w:type="dxa"/>
            <w:vAlign w:val="bottom"/>
          </w:tcPr>
          <w:p>
            <w:pPr>
              <w:spacing w:after="0"/>
              <w:rPr>
                <w:sz w:val="19"/>
                <w:szCs w:val="19"/>
                <w:color w:val="auto"/>
              </w:rPr>
            </w:pPr>
          </w:p>
        </w:tc>
        <w:tc>
          <w:tcPr>
            <w:tcW w:w="7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Rate changes associated with recent rate case activities </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0.13</w:t>
            </w:r>
          </w:p>
        </w:tc>
      </w:tr>
      <w:tr>
        <w:trPr>
          <w:trHeight w:val="230"/>
        </w:trPr>
        <w:tc>
          <w:tcPr>
            <w:tcW w:w="40" w:type="dxa"/>
            <w:vAlign w:val="bottom"/>
          </w:tcPr>
          <w:p>
            <w:pPr>
              <w:spacing w:after="0"/>
              <w:rPr>
                <w:sz w:val="19"/>
                <w:szCs w:val="19"/>
                <w:color w:val="auto"/>
              </w:rPr>
            </w:pP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growth including conversions (excluding service expansions)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0.06</w:t>
            </w:r>
          </w:p>
        </w:tc>
      </w:tr>
      <w:tr>
        <w:trPr>
          <w:trHeight w:val="229"/>
        </w:trPr>
        <w:tc>
          <w:tcPr>
            <w:tcW w:w="40" w:type="dxa"/>
            <w:vAlign w:val="bottom"/>
          </w:tcPr>
          <w:p>
            <w:pPr>
              <w:spacing w:after="0"/>
              <w:rPr>
                <w:sz w:val="19"/>
                <w:szCs w:val="19"/>
                <w:color w:val="auto"/>
              </w:rPr>
            </w:pPr>
          </w:p>
        </w:tc>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Increased Aspire Energy performance - rate changes and gathering fees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0.04</w:t>
            </w:r>
          </w:p>
        </w:tc>
      </w:tr>
      <w:tr>
        <w:trPr>
          <w:trHeight w:val="229"/>
        </w:trPr>
        <w:tc>
          <w:tcPr>
            <w:tcW w:w="40" w:type="dxa"/>
            <w:vAlign w:val="bottom"/>
          </w:tcPr>
          <w:p>
            <w:pPr>
              <w:spacing w:after="0"/>
              <w:rPr>
                <w:sz w:val="19"/>
                <w:szCs w:val="19"/>
                <w:color w:val="auto"/>
              </w:rPr>
            </w:pP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off-system natural gas capacity sales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0.03</w:t>
            </w:r>
          </w:p>
        </w:tc>
      </w:tr>
      <w:tr>
        <w:trPr>
          <w:trHeight w:val="230"/>
        </w:trPr>
        <w:tc>
          <w:tcPr>
            <w:tcW w:w="40" w:type="dxa"/>
            <w:vAlign w:val="bottom"/>
          </w:tcPr>
          <w:p>
            <w:pPr>
              <w:spacing w:after="0"/>
              <w:rPr>
                <w:sz w:val="19"/>
                <w:szCs w:val="19"/>
                <w:color w:val="auto"/>
              </w:rPr>
            </w:pPr>
          </w:p>
        </w:tc>
        <w:tc>
          <w:tcPr>
            <w:tcW w:w="7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Absence of recovered costs associated with Hurricane Michael </w:t>
            </w:r>
            <w:r>
              <w:rPr>
                <w:rFonts w:ascii="Times New Roman" w:cs="Times New Roman" w:eastAsia="Times New Roman" w:hAnsi="Times New Roman"/>
                <w:sz w:val="23"/>
                <w:szCs w:val="23"/>
                <w:color w:val="auto"/>
                <w:vertAlign w:val="superscript"/>
              </w:rPr>
              <w:t>(3)</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(0.06)</w:t>
            </w:r>
          </w:p>
        </w:tc>
      </w:tr>
      <w:tr>
        <w:trPr>
          <w:trHeight w:val="223"/>
        </w:trPr>
        <w:tc>
          <w:tcPr>
            <w:tcW w:w="40" w:type="dxa"/>
            <w:vAlign w:val="bottom"/>
          </w:tcPr>
          <w:p>
            <w:pPr>
              <w:spacing w:after="0"/>
              <w:rPr>
                <w:sz w:val="19"/>
                <w:szCs w:val="19"/>
                <w:color w:val="auto"/>
              </w:rPr>
            </w:pPr>
          </w:p>
        </w:tc>
        <w:tc>
          <w:tcPr>
            <w:tcW w:w="7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rPr>
              <w:t>0.72</w:t>
            </w:r>
          </w:p>
        </w:tc>
      </w:tr>
      <w:tr>
        <w:trPr>
          <w:trHeight w:val="250"/>
        </w:trPr>
        <w:tc>
          <w:tcPr>
            <w:tcW w:w="40" w:type="dxa"/>
            <w:vAlign w:val="bottom"/>
          </w:tcPr>
          <w:p>
            <w:pPr>
              <w:spacing w:after="0"/>
              <w:rPr>
                <w:sz w:val="21"/>
                <w:szCs w:val="21"/>
                <w:color w:val="auto"/>
              </w:rPr>
            </w:pPr>
          </w:p>
        </w:tc>
        <w:tc>
          <w:tcPr>
            <w:tcW w:w="7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Increased Operating Expenses (Excluding Natural Gas, Propane, and Electric Costs):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benefits and other employee-related expenses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40" w:type="dxa"/>
            <w:vAlign w:val="bottom"/>
          </w:tcPr>
          <w:p>
            <w:pPr>
              <w:spacing w:after="0"/>
              <w:rPr>
                <w:sz w:val="19"/>
                <w:szCs w:val="19"/>
                <w:color w:val="auto"/>
              </w:rPr>
            </w:pP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 expenses, maintenance costs and outside services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(0.09)</w:t>
            </w:r>
          </w:p>
        </w:tc>
      </w:tr>
      <w:tr>
        <w:trPr>
          <w:trHeight w:val="230"/>
        </w:trPr>
        <w:tc>
          <w:tcPr>
            <w:tcW w:w="40" w:type="dxa"/>
            <w:vAlign w:val="bottom"/>
          </w:tcPr>
          <w:p>
            <w:pPr>
              <w:spacing w:after="0"/>
              <w:rPr>
                <w:sz w:val="19"/>
                <w:szCs w:val="19"/>
                <w:color w:val="auto"/>
              </w:rPr>
            </w:pPr>
          </w:p>
        </w:tc>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property taxes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(0.05)</w:t>
            </w:r>
          </w:p>
        </w:tc>
      </w:tr>
      <w:tr>
        <w:trPr>
          <w:trHeight w:val="229"/>
        </w:trPr>
        <w:tc>
          <w:tcPr>
            <w:tcW w:w="40" w:type="dxa"/>
            <w:vAlign w:val="bottom"/>
          </w:tcPr>
          <w:p>
            <w:pPr>
              <w:spacing w:after="0"/>
              <w:rPr>
                <w:sz w:val="19"/>
                <w:szCs w:val="19"/>
                <w:color w:val="auto"/>
              </w:rPr>
            </w:pP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collections and customer service costs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(0.04)</w:t>
            </w:r>
          </w:p>
        </w:tc>
      </w:tr>
      <w:tr>
        <w:trPr>
          <w:trHeight w:val="230"/>
        </w:trPr>
        <w:tc>
          <w:tcPr>
            <w:tcW w:w="40" w:type="dxa"/>
            <w:vAlign w:val="bottom"/>
          </w:tcPr>
          <w:p>
            <w:pPr>
              <w:spacing w:after="0"/>
              <w:rPr>
                <w:sz w:val="19"/>
                <w:szCs w:val="19"/>
                <w:color w:val="auto"/>
              </w:rPr>
            </w:pPr>
          </w:p>
        </w:tc>
        <w:tc>
          <w:tcPr>
            <w:tcW w:w="7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Absence of amortization of costs associated with Hurricane Michael recovery </w:t>
            </w:r>
            <w:r>
              <w:rPr>
                <w:rFonts w:ascii="Times New Roman" w:cs="Times New Roman" w:eastAsia="Times New Roman" w:hAnsi="Times New Roman"/>
                <w:sz w:val="23"/>
                <w:szCs w:val="23"/>
                <w:color w:val="auto"/>
                <w:vertAlign w:val="superscript"/>
              </w:rPr>
              <w:t>(3)</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0.06</w:t>
            </w:r>
          </w:p>
        </w:tc>
      </w:tr>
      <w:tr>
        <w:trPr>
          <w:trHeight w:val="223"/>
        </w:trPr>
        <w:tc>
          <w:tcPr>
            <w:tcW w:w="40" w:type="dxa"/>
            <w:vAlign w:val="bottom"/>
          </w:tcPr>
          <w:p>
            <w:pPr>
              <w:spacing w:after="0"/>
              <w:rPr>
                <w:sz w:val="19"/>
                <w:szCs w:val="19"/>
                <w:color w:val="auto"/>
              </w:rPr>
            </w:pPr>
          </w:p>
        </w:tc>
        <w:tc>
          <w:tcPr>
            <w:tcW w:w="7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rPr>
              <w:t>(0.32)</w:t>
            </w:r>
          </w:p>
        </w:tc>
      </w:tr>
      <w:tr>
        <w:trPr>
          <w:trHeight w:val="250"/>
        </w:trPr>
        <w:tc>
          <w:tcPr>
            <w:tcW w:w="40" w:type="dxa"/>
            <w:vAlign w:val="bottom"/>
          </w:tcPr>
          <w:p>
            <w:pPr>
              <w:spacing w:after="0"/>
              <w:rPr>
                <w:sz w:val="21"/>
                <w:szCs w:val="21"/>
                <w:color w:val="auto"/>
              </w:rPr>
            </w:pPr>
          </w:p>
        </w:tc>
        <w:tc>
          <w:tcPr>
            <w:tcW w:w="7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charges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40" w:type="dxa"/>
            <w:vAlign w:val="bottom"/>
          </w:tcPr>
          <w:p>
            <w:pPr>
              <w:spacing w:after="0"/>
              <w:rPr>
                <w:sz w:val="19"/>
                <w:szCs w:val="19"/>
                <w:color w:val="auto"/>
              </w:rPr>
            </w:pPr>
          </w:p>
        </w:tc>
        <w:tc>
          <w:tcPr>
            <w:tcW w:w="7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Increase in shares outstanding due to 2025 and 2026 equity offerings </w:t>
            </w:r>
            <w:r>
              <w:rPr>
                <w:rFonts w:ascii="Times New Roman" w:cs="Times New Roman" w:eastAsia="Times New Roman" w:hAnsi="Times New Roman"/>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(0.09)</w:t>
            </w:r>
          </w:p>
        </w:tc>
      </w:tr>
      <w:tr>
        <w:trPr>
          <w:trHeight w:val="229"/>
        </w:trPr>
        <w:tc>
          <w:tcPr>
            <w:tcW w:w="40" w:type="dxa"/>
            <w:vAlign w:val="bottom"/>
          </w:tcPr>
          <w:p>
            <w:pPr>
              <w:spacing w:after="0"/>
              <w:rPr>
                <w:sz w:val="19"/>
                <w:szCs w:val="19"/>
                <w:color w:val="auto"/>
              </w:rPr>
            </w:pPr>
          </w:p>
        </w:tc>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changes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rPr>
              <w:t>(0.04)</w:t>
            </w:r>
          </w:p>
        </w:tc>
      </w:tr>
      <w:tr>
        <w:trPr>
          <w:trHeight w:val="223"/>
        </w:trPr>
        <w:tc>
          <w:tcPr>
            <w:tcW w:w="40" w:type="dxa"/>
            <w:vAlign w:val="bottom"/>
          </w:tcPr>
          <w:p>
            <w:pPr>
              <w:spacing w:after="0"/>
              <w:rPr>
                <w:sz w:val="19"/>
                <w:szCs w:val="19"/>
                <w:color w:val="auto"/>
              </w:rPr>
            </w:pPr>
          </w:p>
        </w:tc>
        <w:tc>
          <w:tcPr>
            <w:tcW w:w="7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(0.15)</w:t>
            </w:r>
          </w:p>
        </w:tc>
      </w:tr>
      <w:tr>
        <w:trPr>
          <w:trHeight w:val="223"/>
        </w:trPr>
        <w:tc>
          <w:tcPr>
            <w:tcW w:w="40" w:type="dxa"/>
            <w:vAlign w:val="bottom"/>
          </w:tcPr>
          <w:p>
            <w:pPr>
              <w:spacing w:after="0"/>
              <w:rPr>
                <w:sz w:val="19"/>
                <w:szCs w:val="19"/>
                <w:color w:val="auto"/>
              </w:rPr>
            </w:pPr>
          </w:p>
        </w:tc>
        <w:tc>
          <w:tcPr>
            <w:tcW w:w="72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Three Months Ended March 31, 2026 Adjusted Results </w:t>
            </w:r>
            <w:r>
              <w:rPr>
                <w:rFonts w:ascii="Times New Roman" w:cs="Times New Roman" w:eastAsia="Times New Roman" w:hAnsi="Times New Roman"/>
                <w:sz w:val="23"/>
                <w:szCs w:val="23"/>
                <w:b w:val="1"/>
                <w:bCs w:val="1"/>
                <w:color w:val="auto"/>
                <w:vertAlign w:val="superscript"/>
              </w:rPr>
              <w:t>(1)</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0C0C0C"/>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0C0C0C"/>
              </w:rPr>
              <w:t>80.7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0C0C0C"/>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0C0C0C"/>
              </w:rPr>
              <w:t>59.3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2.47</w:t>
            </w:r>
          </w:p>
        </w:tc>
      </w:tr>
      <w:tr>
        <w:trPr>
          <w:trHeight w:val="20"/>
        </w:trPr>
        <w:tc>
          <w:tcPr>
            <w:tcW w:w="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right="2200" w:firstLine="8"/>
        <w:spacing w:after="0" w:line="271" w:lineRule="auto"/>
        <w:tabs>
          <w:tab w:leader="none" w:pos="145"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Transaction and transition-related expenses attributable to the acquisition and integration of FCG have been excluded from the Company’s non-GAAP measures of adjusted net income and adjusted EPS. See reconciliations above for a detailed comparison to the related GAAP measures.</w:t>
      </w:r>
    </w:p>
    <w:p>
      <w:pPr>
        <w:ind w:left="140" w:hanging="132"/>
        <w:spacing w:after="0" w:line="228" w:lineRule="auto"/>
        <w:tabs>
          <w:tab w:leader="none" w:pos="140" w:val="left"/>
        </w:tabs>
        <w:numPr>
          <w:ilvl w:val="0"/>
          <w:numId w:val="2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Refer to Major Projects and Initiatives table for additional information.</w:t>
      </w:r>
    </w:p>
    <w:p>
      <w:pPr>
        <w:spacing w:after="0" w:line="3" w:lineRule="exact"/>
        <w:rPr>
          <w:rFonts w:ascii="Times New Roman" w:cs="Times New Roman" w:eastAsia="Times New Roman" w:hAnsi="Times New Roman"/>
          <w:sz w:val="16"/>
          <w:szCs w:val="16"/>
          <w:color w:val="auto"/>
          <w:vertAlign w:val="superscript"/>
        </w:rPr>
      </w:pPr>
    </w:p>
    <w:p>
      <w:pPr>
        <w:ind w:right="2400" w:firstLine="8"/>
        <w:spacing w:after="0" w:line="290" w:lineRule="auto"/>
        <w:tabs>
          <w:tab w:leader="none" w:pos="132" w:val="left"/>
        </w:tabs>
        <w:numPr>
          <w:ilvl w:val="0"/>
          <w:numId w:val="2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current period includes offsetting reductions in both adjusted gross margin and depreciation and amortization expense related to the absence of recovered costs associated with Hurricane Michael.</w:t>
      </w:r>
    </w:p>
    <w:p>
      <w:pPr>
        <w:ind w:left="160" w:hanging="152"/>
        <w:spacing w:after="0"/>
        <w:tabs>
          <w:tab w:leader="none" w:pos="16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Reflects the impact of approximately 0.8 million common shares issued under the DRIP/DSSP and ATM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4" w:right="5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Key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Completed and Ongoing Major Projects and Initiatives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continuously pursue and develop additional projects and regulatory initiatives to serve existing and new customers, further grow our businesses and earnings, and increase shareholder value. The following table includes all major projects and initiatives that are currently underway or recently completed. Our practice is to add incremental margin associated with new projects and regulatory initiatives to this table once negotiations or details are substantially final and/or the associated earnings can be estimated. Major projects and initiatives that have generated consistent year-over-year adjusted gross margin contributions are removed from the table at the beginning of the next calendar year.</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6"/>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Adjusted Gross Margin</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40" w:type="dxa"/>
            <w:vAlign w:val="bottom"/>
          </w:tcPr>
          <w:p>
            <w:pPr>
              <w:spacing w:after="0"/>
              <w:rPr>
                <w:sz w:val="18"/>
                <w:szCs w:val="18"/>
                <w:color w:val="auto"/>
              </w:rPr>
            </w:pPr>
          </w:p>
        </w:tc>
        <w:tc>
          <w:tcPr>
            <w:tcW w:w="198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Estimate for</w:t>
            </w:r>
          </w:p>
        </w:tc>
      </w:tr>
      <w:tr>
        <w:trPr>
          <w:trHeight w:val="217"/>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8"/>
                <w:szCs w:val="18"/>
                <w:color w:val="auto"/>
              </w:rPr>
            </w:pPr>
          </w:p>
        </w:tc>
        <w:tc>
          <w:tcPr>
            <w:tcW w:w="11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Fiscal</w:t>
            </w:r>
          </w:p>
        </w:tc>
        <w:tc>
          <w:tcPr>
            <w:tcW w:w="800" w:type="dxa"/>
            <w:vAlign w:val="bottom"/>
          </w:tcPr>
          <w:p>
            <w:pPr>
              <w:spacing w:after="0"/>
              <w:rPr>
                <w:sz w:val="18"/>
                <w:szCs w:val="18"/>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5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2027</w:t>
            </w: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Pipeline Expansions:</w:t>
            </w:r>
          </w:p>
        </w:tc>
        <w:tc>
          <w:tcPr>
            <w:tcW w:w="3880" w:type="dxa"/>
            <w:vAlign w:val="bottom"/>
            <w:tcBorders>
              <w:bottom w:val="single" w:sz="8" w:color="CCEEFF"/>
            </w:tcBorders>
            <w:gridSpan w:val="2"/>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5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St. Cloud / Twin Lakes Expansion</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8"/>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Wildlight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4"/>
        </w:trPr>
        <w:tc>
          <w:tcPr>
            <w:tcW w:w="20" w:type="dxa"/>
            <w:vAlign w:val="bottom"/>
          </w:tcPr>
          <w:p>
            <w:pPr>
              <w:spacing w:after="0"/>
              <w:rPr>
                <w:sz w:val="18"/>
                <w:szCs w:val="18"/>
                <w:color w:val="auto"/>
              </w:rPr>
            </w:pPr>
          </w:p>
        </w:tc>
        <w:tc>
          <w:tcPr>
            <w:tcW w:w="5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Worcester Resiliency Upgrade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18"/>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Boynton Beach</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4"/>
        </w:trPr>
        <w:tc>
          <w:tcPr>
            <w:tcW w:w="20" w:type="dxa"/>
            <w:vAlign w:val="bottom"/>
          </w:tcPr>
          <w:p>
            <w:pPr>
              <w:spacing w:after="0"/>
              <w:rPr>
                <w:sz w:val="18"/>
                <w:szCs w:val="18"/>
                <w:color w:val="auto"/>
              </w:rPr>
            </w:pPr>
          </w:p>
        </w:tc>
        <w:tc>
          <w:tcPr>
            <w:tcW w:w="5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New Smyrna Beach</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8"/>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Central Florida Reinforcement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4"/>
        </w:trPr>
        <w:tc>
          <w:tcPr>
            <w:tcW w:w="20" w:type="dxa"/>
            <w:vAlign w:val="bottom"/>
          </w:tcPr>
          <w:p>
            <w:pPr>
              <w:spacing w:after="0"/>
              <w:rPr>
                <w:sz w:val="18"/>
                <w:szCs w:val="18"/>
                <w:color w:val="auto"/>
              </w:rPr>
            </w:pPr>
          </w:p>
        </w:tc>
        <w:tc>
          <w:tcPr>
            <w:tcW w:w="5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Renewable Natural Gas Supply Projects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8"/>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Miami Inner Loop</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4"/>
        </w:trPr>
        <w:tc>
          <w:tcPr>
            <w:tcW w:w="20" w:type="dxa"/>
            <w:vAlign w:val="bottom"/>
          </w:tcPr>
          <w:p>
            <w:pPr>
              <w:spacing w:after="0"/>
              <w:rPr>
                <w:sz w:val="18"/>
                <w:szCs w:val="18"/>
                <w:color w:val="auto"/>
              </w:rPr>
            </w:pPr>
          </w:p>
        </w:tc>
        <w:tc>
          <w:tcPr>
            <w:tcW w:w="5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Duncan Plains</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3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Pipeline Expansions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r>
      <w:tr>
        <w:trPr>
          <w:trHeight w:val="198"/>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75"/>
        </w:trPr>
        <w:tc>
          <w:tcPr>
            <w:tcW w:w="20" w:type="dxa"/>
            <w:vAlign w:val="bottom"/>
            <w:shd w:val="clear" w:color="auto" w:fill="CCEEFF"/>
          </w:tcPr>
          <w:p>
            <w:pPr>
              <w:spacing w:after="0"/>
              <w:rPr>
                <w:sz w:val="15"/>
                <w:szCs w:val="15"/>
                <w:color w:val="auto"/>
              </w:rPr>
            </w:pPr>
          </w:p>
        </w:tc>
        <w:tc>
          <w:tcPr>
            <w:tcW w:w="534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Regulatory Initiatives:</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3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Florida GUARD program</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8"/>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FCG SAFE Program</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14"/>
        </w:trPr>
        <w:tc>
          <w:tcPr>
            <w:tcW w:w="20" w:type="dxa"/>
            <w:vAlign w:val="bottom"/>
          </w:tcPr>
          <w:p>
            <w:pPr>
              <w:spacing w:after="0"/>
              <w:rPr>
                <w:sz w:val="18"/>
                <w:szCs w:val="18"/>
                <w:color w:val="auto"/>
              </w:rPr>
            </w:pPr>
          </w:p>
        </w:tc>
        <w:tc>
          <w:tcPr>
            <w:tcW w:w="53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Capital Cost Surcharge Programs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8"/>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Electric Storm Protection Plan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4"/>
        </w:trPr>
        <w:tc>
          <w:tcPr>
            <w:tcW w:w="20" w:type="dxa"/>
            <w:vAlign w:val="bottom"/>
          </w:tcPr>
          <w:p>
            <w:pPr>
              <w:spacing w:after="0"/>
              <w:rPr>
                <w:sz w:val="18"/>
                <w:szCs w:val="18"/>
                <w:color w:val="auto"/>
              </w:rPr>
            </w:pPr>
          </w:p>
        </w:tc>
        <w:tc>
          <w:tcPr>
            <w:tcW w:w="53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Florida Mandatory Relocates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8"/>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ind w:left="200"/>
              <w:spacing w:after="0" w:line="218" w:lineRule="exact"/>
              <w:rPr>
                <w:sz w:val="20"/>
                <w:szCs w:val="20"/>
                <w:color w:val="auto"/>
              </w:rPr>
            </w:pPr>
            <w:r>
              <w:rPr>
                <w:rFonts w:ascii="Times New Roman" w:cs="Times New Roman" w:eastAsia="Times New Roman" w:hAnsi="Times New Roman"/>
                <w:sz w:val="16"/>
                <w:szCs w:val="16"/>
                <w:color w:val="auto"/>
              </w:rPr>
              <w:t xml:space="preserve">Maryland Rate Case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6"/>
        </w:trPr>
        <w:tc>
          <w:tcPr>
            <w:tcW w:w="20" w:type="dxa"/>
            <w:vAlign w:val="bottom"/>
          </w:tcPr>
          <w:p>
            <w:pPr>
              <w:spacing w:after="0"/>
              <w:rPr>
                <w:sz w:val="18"/>
                <w:szCs w:val="18"/>
                <w:color w:val="auto"/>
              </w:rPr>
            </w:pPr>
          </w:p>
        </w:tc>
        <w:tc>
          <w:tcPr>
            <w:tcW w:w="5340" w:type="dxa"/>
            <w:vAlign w:val="bottom"/>
            <w:gridSpan w:val="3"/>
          </w:tcPr>
          <w:p>
            <w:pPr>
              <w:ind w:left="200"/>
              <w:spacing w:after="0" w:line="216" w:lineRule="exact"/>
              <w:rPr>
                <w:sz w:val="20"/>
                <w:szCs w:val="20"/>
                <w:color w:val="auto"/>
              </w:rPr>
            </w:pPr>
            <w:r>
              <w:rPr>
                <w:rFonts w:ascii="Times New Roman" w:cs="Times New Roman" w:eastAsia="Times New Roman" w:hAnsi="Times New Roman"/>
                <w:sz w:val="16"/>
                <w:szCs w:val="16"/>
                <w:color w:val="auto"/>
              </w:rPr>
              <w:t xml:space="preserve">Delaware Rate Case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6"/>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ind w:left="200"/>
              <w:spacing w:after="0" w:line="216" w:lineRule="exact"/>
              <w:rPr>
                <w:sz w:val="20"/>
                <w:szCs w:val="20"/>
                <w:color w:val="auto"/>
              </w:rPr>
            </w:pPr>
            <w:r>
              <w:rPr>
                <w:rFonts w:ascii="Times New Roman" w:cs="Times New Roman" w:eastAsia="Times New Roman" w:hAnsi="Times New Roman"/>
                <w:sz w:val="16"/>
                <w:szCs w:val="16"/>
                <w:color w:val="auto"/>
              </w:rPr>
              <w:t xml:space="preserve">Electric Rate Case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4"/>
        </w:trPr>
        <w:tc>
          <w:tcPr>
            <w:tcW w:w="20" w:type="dxa"/>
            <w:vAlign w:val="bottom"/>
          </w:tcPr>
          <w:p>
            <w:pPr>
              <w:spacing w:after="0"/>
              <w:rPr>
                <w:sz w:val="18"/>
                <w:szCs w:val="18"/>
                <w:color w:val="auto"/>
              </w:rPr>
            </w:pPr>
          </w:p>
        </w:tc>
        <w:tc>
          <w:tcPr>
            <w:tcW w:w="53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Florida City Gas Rate Case</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TBD</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TBD</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3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Regulatory Initiatives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r>
      <w:tr>
        <w:trPr>
          <w:trHeight w:val="198"/>
        </w:trPr>
        <w:tc>
          <w:tcPr>
            <w:tcW w:w="2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7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5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60" w:hanging="152"/>
        <w:spacing w:after="0"/>
        <w:tabs>
          <w:tab w:leader="none" w:pos="160"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adjusted gross margin attributable to interim and permanent rates. See additional information provided below.</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Detailed Discussion of Major Projects and Initiatives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Pipeline Expansions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 Cloud / Twin Lakes Expansion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2022, Peninsula Pipeline filed a petition with the Florida PSC for approval of its Transportation Service Agreement with FPU for an additional 2,400 Dts/d of firm service in the St. Cloud, Florida area. As part of this agreement, Peninsula Pipeline constructed a pipeline extension and regulator station for FPU. The extension supports new incremental load due to growth in the area, including providing service, most immediately, to the residential development, Twin Lakes. The expansion also improves reliability and provides operational benefits to FPU’s existing distribution system in the area, supporting future growth. We expect this extension to generate annual adjusted gross margin of approximately $0.6 million in 2026 and annually thereafter.</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Peninsula Pipeline filed a petition with the Florida PSC for approval of an amendment to its Transportation Service Agreement with FPU for a project that will support additional supply to communities in the St. Cloud, Florida area. The</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project is driven by the need to expand gas service to future communities that are expected in that area. Peninsula Pipeline will construct pipeline expansions that will allow FPU to serve the expected new growth. The expansion will provide FPU with an additional 10,000 Dts/d. The Florida PSC approved the project in May 2024, and it is expected to be complete in the second quarter of 2026. For the three months ended March 31, 2026, these projects generated incremental adjusted gross margin of $0.9 million. We expect this expansion to generate approximately $3.2 million in 2026 and annually thereafter.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Wildlight Expansion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August 2022, Peninsula Pipeline and FPU filed a joint petition with the Florida PSC for approval of its Transportation Service Agreement associated with the Wildlight planned community located in Nassau County, Florida. The project enables us to meet the significant growing demand for service in Yulee, Florida. The agreement enables us to construct the project during the build-out of the community and charge the reservation rate as each phase of the project goes into service. Construction of the pipeline facilities will occur in two separate phases. Phase one consists of three extensions with associated facilities, and a gas injection interconnect with associated facilities. Phase two will consist of two additional pipeline extensions. The petition was approved by the Florida PSC in November 2022. The various phases of the project commenced in the first quarter of 2023, and construction was completed in 2025. The project generated incremental adjusted gross margin of $0.6 million for the three months ended March 31, 2026, and is expected to contribute adjusted gross margin of approximately $4.3 million in 2026 and annually thereafter.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Worcester Resiliency Upgrade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2023, Eastern Shore filed an application with the FERC requesting authorization to construct the Worcester Resiliency Upgrade, which consists of a mixture of storage and transmission facilities in Sussex County, Delaware and Wicomico, Worcester, and Somerset Counties in Maryland. The project will provide long-term incremental supply necessary to support the growing demand of the participating shippers. In January 2025, the FERC approved the project.</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2025, Eastern Shore filed a limited amended application with the FERC requesting revised initial transportation rates for the project. The revised rates reflected increased capital costs associated with unanticipated changes in global markets and supply chains, including the availability of skilled laborers with the requisite certifications to work on this project. Eastern Shore requested expedited action by the FERC in relation to this matter and an approved order was issued in July 2025. Construction commenced shortly after approval and is well underway. The weather during the first quarter resulted in several brief slowdowns which had a cumulative impact on the overall timeline. Project construction and commissioning are expected to be complete in the latter part of the year with the FERC approval process to immediately follow. The Company expects to receive full approval for in-service of the facility by the beginning of 2027. The project generated adjusted gross margin of $0.4 million for the three months ended March 31, 2026. The project is expected to contribute adjusted gross margin of approximately $1.5 million in 2026 and $17.1 million in 2027 and annually thereafter.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East Coast Reinforcement Projects (Boynton Beach and New Smyrna Beach)</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2023, Peninsula Pipeline filed a petition with the Florida PSC for approval of its Transportation Service Agreements with FPU for projects that will support additional supply to communities on the East Coast of Florida. The projects are driven by the need for increased supply to coastal portions of the state that have experienced an increase in population growth. Peninsula Pipeline will construct several pipeline extensions which will support FPU’s distribution system in the areas of Boynton Beach and New Smyrna Beach with an additional 15,000 Dts/d and 3,400 Dts/d, respectively. The Florida PSC approved the projects in March 2024. New Smyrna Beach was placed into service during May 2025 and construction is projected to be complete for Boynton Beach in the second quarter of 2026. The projects generated incremental adjusted gross margin of $1.0 million for the three months ended March 31, 2026, and are expected to contribute adjusted gross margin of approximately $6.0 million in 2026 and annually thereafter.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Central Florida Reinforcement Projects (Plant City and Lake Mattie)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February 2024, Peninsula Pipeline filed a petition with the Florida PSC for approval of its Transportation Service Agreements with FPU for projects that will support additional supply to communities located in Central Florida. The projects are driven by the need for increased supply to communities in central Florida that are experiencing significant population growth. Peninsula Pipeline's extensions support FPU’s distribution system around the Plant City and Lake Mattie area's of Florida with an additional 5,000 Dts/d and 8,700 Dts/d, respectively. The Florida PSC approved the projects in March 2024. The Plant City project was completed in the fourth quarter of 2024, and the Lake Mattie project went into service in July 2025. The projects generated incremental adjusted gross margin of $0.8 million for the three months ended March 31, 2026, and both projects are expected to contribute total adjusted gross margin of approximately $4.3 million in 2026 and annually thereafter.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Renewable Natural Gas Supply Projects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February 2024, Peninsula Pipeline filed a petition with the Florida PSC for approval of Transportation Service Agreements with FCG for projects that will support the transportation of additional renewable energy supply to FCG. The projects, located in Florida’s Brevard, Indian River and Miami-Dade counties, will bring renewable natural gas produced from local landfills into FCG’s natural gas distribution system. Peninsula Pipeline will construct several pipeline extensions which will support FCG's distribution system in Brevard County, Indian River County, and Miami-Dade County. Benefits of these projects include increased gas supply to serve expected FCG growth, strengthened system reliability and additional system flexibility. The Florida PSC approved the petition at its July 2024 meeting. In October 2025, the Florida PSC approved amendments to the Transportation Service Agreements that were filed to include Peninsula Pipeline as a party to the related interconnection agreements. The projects are underway and are estimated to be completed in the second half of 2026. These three renewable projects generated adjusted gross margin of $1.3 million for the three months ended March 31, 2026, and are projected to generate total adjusted gross margin of approximately $5.4 million in 2026 and $6.4 million annually thereafter.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Miami Inner Loop Pipeline Projects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September 2024, Peninsula Pipeline filed a petition with the Florida PSC for approval of the Transportation Service Agreement with FCG for a series of projects that will enhance gas infrastructure in Miami-Dade County. The proposed expansion consists of the development of several pipeline projects to support growth and FCG's distribution system, as well as enhance FCG's access to gas from various points in the Miami-Dade County area. The expansion was approved in February 2025 and interim services began in August 2025 with permanent facilities expected to be in service by the second quarter of 2026. The project generated adjusted gross margin of $1.9 million for the three months ended March 31, 2026 and is expected to contribute adjusted gross margin of approximately $7.6 million in 2026 and annually thereafter.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Duncan Plains Pipeline Project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2025, Aspire Energy Express entered into an agreement with American Electric Power to construct and operate an intrastate natural gas pipeline in central Ohio to serve a new fuel-cell facility, which will provide on-site electric power to a data center. This new transmission infrastructure is expected to be in service in the first half of 2027 and is expected to contribute adjusted gross margin of approximately $1.1 million in 2027 and approximately $2.1 million annually thereafter.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Regulatory Initiatives (with recent regulatory 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Florida GUARD Program</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February 2023, FPU filed a petition with the Florida PSC for approval of the GUARD program. GUARD is a ten-year program to enhance the safety, reliability, and accessibility of portions of our natural gas distribution system. We identified various categories of projects to be included in GUARD, which include the relocation of mains and service lines located in rear easements and other difficult to access areas to the front of the street, the replacement of problematic distribution mains, service lines, and maintenance and repair equipment and system reliability projects. In August 2023, the Florida PSC approved the GUARD program, which included $205.0 million of capital expenditures projected to be spent over a 10-year period. </w:t>
      </w:r>
      <w:r>
        <w:rPr>
          <w:rFonts w:ascii="Times New Roman" w:cs="Times New Roman" w:eastAsia="Times New Roman" w:hAnsi="Times New Roman"/>
          <w:sz w:val="18"/>
          <w:szCs w:val="18"/>
          <w:color w:val="0C0C0C"/>
        </w:rPr>
        <w:t>For t</w:t>
      </w:r>
      <w:r>
        <w:rPr>
          <w:rFonts w:ascii="Times New Roman" w:cs="Times New Roman" w:eastAsia="Times New Roman" w:hAnsi="Times New Roman"/>
          <w:sz w:val="18"/>
          <w:szCs w:val="18"/>
          <w:color w:val="auto"/>
        </w:rPr>
        <w:t>he three months ended March 31, 2026</w:t>
      </w:r>
      <w:r>
        <w:rPr>
          <w:rFonts w:ascii="Times New Roman" w:cs="Times New Roman" w:eastAsia="Times New Roman" w:hAnsi="Times New Roman"/>
          <w:sz w:val="18"/>
          <w:szCs w:val="18"/>
          <w:color w:val="0C0C0C"/>
        </w:rPr>
        <w:t>, there was</w:t>
      </w:r>
      <w:r>
        <w:rPr>
          <w:rFonts w:ascii="Times New Roman" w:cs="Times New Roman" w:eastAsia="Times New Roman" w:hAnsi="Times New Roman"/>
          <w:sz w:val="18"/>
          <w:szCs w:val="18"/>
          <w:color w:val="auto"/>
        </w:rPr>
        <w:t xml:space="preserve"> $0.9 million </w:t>
      </w:r>
      <w:r>
        <w:rPr>
          <w:rFonts w:ascii="Times New Roman" w:cs="Times New Roman" w:eastAsia="Times New Roman" w:hAnsi="Times New Roman"/>
          <w:sz w:val="18"/>
          <w:szCs w:val="18"/>
          <w:color w:val="0C0C0C"/>
        </w:rPr>
        <w:t>of incremental adjusted gross margin generated pursuant to the program. The program</w:t>
      </w:r>
      <w:r>
        <w:rPr>
          <w:rFonts w:ascii="Times New Roman" w:cs="Times New Roman" w:eastAsia="Times New Roman" w:hAnsi="Times New Roman"/>
          <w:sz w:val="18"/>
          <w:szCs w:val="18"/>
          <w:color w:val="auto"/>
        </w:rPr>
        <w:t xml:space="preserve"> is expected to generate $10.1 million of adjusted gross margin in 2026 and $13.0 million in 2027.</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FCG SAFE Program</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June 2023, the Florida PSC issued the approval order for the continuation of the SAFE program beyond its 2025 expiration date and inclusion of 150 miles of additional mains and services located in rear property easements. The SAFE program is designed to relocate certain mains and facilities associated with rear lot easements to street front locations to improve FCG's ability to inspect and maintain the facilities and reduce opportunities for damage and theft. In the same order, the Florida PSC approved a replacement of 160 miles of pipe that was used in the 1970s and 1980s and shown through industry research to exhibit premature failure in the form of cracking. The program includes projected capital expenditures of $205.0 million over a 10-year period. </w:t>
      </w:r>
      <w:r>
        <w:rPr>
          <w:rFonts w:ascii="Times New Roman" w:cs="Times New Roman" w:eastAsia="Times New Roman" w:hAnsi="Times New Roman"/>
          <w:sz w:val="18"/>
          <w:szCs w:val="18"/>
          <w:color w:val="0C0C0C"/>
        </w:rPr>
        <w:t>For t</w:t>
      </w:r>
      <w:r>
        <w:rPr>
          <w:rFonts w:ascii="Times New Roman" w:cs="Times New Roman" w:eastAsia="Times New Roman" w:hAnsi="Times New Roman"/>
          <w:sz w:val="18"/>
          <w:szCs w:val="18"/>
          <w:color w:val="000000"/>
        </w:rPr>
        <w:t>he three months ended March 31, 2026</w:t>
      </w:r>
      <w:r>
        <w:rPr>
          <w:rFonts w:ascii="Times New Roman" w:cs="Times New Roman" w:eastAsia="Times New Roman" w:hAnsi="Times New Roman"/>
          <w:sz w:val="18"/>
          <w:szCs w:val="18"/>
          <w:color w:val="0C0C0C"/>
        </w:rPr>
        <w:t xml:space="preserve">, there was </w:t>
      </w:r>
      <w:r>
        <w:rPr>
          <w:rFonts w:ascii="Times New Roman" w:cs="Times New Roman" w:eastAsia="Times New Roman" w:hAnsi="Times New Roman"/>
          <w:sz w:val="18"/>
          <w:szCs w:val="18"/>
          <w:color w:val="000000"/>
        </w:rPr>
        <w:t>$1.1 million</w:t>
      </w:r>
      <w:r>
        <w:rPr>
          <w:rFonts w:ascii="Times New Roman" w:cs="Times New Roman" w:eastAsia="Times New Roman" w:hAnsi="Times New Roman"/>
          <w:sz w:val="18"/>
          <w:szCs w:val="18"/>
          <w:color w:val="0C0C0C"/>
        </w:rPr>
        <w:t xml:space="preserve"> of incremental adjusted gross margin generated pursuant to the program. </w:t>
      </w:r>
      <w:r>
        <w:rPr>
          <w:rFonts w:ascii="Times New Roman" w:cs="Times New Roman" w:eastAsia="Times New Roman" w:hAnsi="Times New Roman"/>
          <w:sz w:val="18"/>
          <w:szCs w:val="18"/>
          <w:color w:val="000000"/>
        </w:rPr>
        <w:t>The program</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000000"/>
        </w:rPr>
        <w:t>is expected to generate $12.7 million of adjusted gross margin in 2026 and $16.4 million in 2027.</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2024, FCG filed a petition with the Florida PSC to more closely align the SAFE Program with FPU's GUARD program. Specifically, the requested modifications enable FCG to accelerate remediation related to problematic pipe and facilities consisting of obsolete and exposed pipe. These modifications will improve the safety and reliability of service to FCG's customers and result in an estimated additional $50.0 million in capital expenditures associated with the SAFE Program, increasing the total projected capital expenditures to approximately $255.0 million over a 10-year period. The Florida PSC approved the modifications in September 2024.</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Cost Surcharge Programs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0C0C0C"/>
        </w:rPr>
        <w:t>In December 2025 Eastern Shore submitted a filing with the FERC regarding a capital cost surcharge to recover capital costs associated with the replacement of existing Eastern Shore facilities because of mandated highway relocation projects as well as compliance with PHMSA regulation. The capital cost surcharge mechanism was approved in Eastern Shore's last rate case. In conjunction with the filing of this surcharge, a cumulative adjustment to the existing surcharge to reflect additional depreciation was included. The FERC issued an order approving the surcharge as filed in December 2025. The combined revised surcharge became effective January 1, 2026.</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March 2026, Eastern Shore submitted an annual true-up filing with the FERC regarding a capital cost surcharge to recover capital costs associated with the replacement of existing Eastern Shore facilities because of mandated highway relocation projects as well as compliance with a PHMSA regulation. The capital cost surcharge mechanism was approved in Eastern Shore's last rate case. There was a slight decrease to the revenue requirement of the currently effective surcharge as a result of the true-up. The FERC issued an order approving the surcharge as filed effective April 1, 2026. </w:t>
      </w:r>
      <w:r>
        <w:rPr>
          <w:rFonts w:ascii="Times New Roman" w:cs="Times New Roman" w:eastAsia="Times New Roman" w:hAnsi="Times New Roman"/>
          <w:sz w:val="18"/>
          <w:szCs w:val="18"/>
          <w:color w:val="0C0C0C"/>
        </w:rPr>
        <w:t>For t</w:t>
      </w:r>
      <w:r>
        <w:rPr>
          <w:rFonts w:ascii="Times New Roman" w:cs="Times New Roman" w:eastAsia="Times New Roman" w:hAnsi="Times New Roman"/>
          <w:sz w:val="18"/>
          <w:szCs w:val="18"/>
          <w:color w:val="auto"/>
        </w:rPr>
        <w:t>he three months ended March 31, 2026</w:t>
      </w:r>
      <w:r>
        <w:rPr>
          <w:rFonts w:ascii="Times New Roman" w:cs="Times New Roman" w:eastAsia="Times New Roman" w:hAnsi="Times New Roman"/>
          <w:sz w:val="18"/>
          <w:szCs w:val="18"/>
          <w:color w:val="0C0C0C"/>
        </w:rPr>
        <w:t>, there was</w:t>
      </w:r>
      <w:r>
        <w:rPr>
          <w:rFonts w:ascii="Times New Roman" w:cs="Times New Roman" w:eastAsia="Times New Roman" w:hAnsi="Times New Roman"/>
          <w:sz w:val="18"/>
          <w:szCs w:val="18"/>
          <w:color w:val="auto"/>
        </w:rPr>
        <w:t xml:space="preserve"> $0.8 million </w:t>
      </w:r>
      <w:r>
        <w:rPr>
          <w:rFonts w:ascii="Times New Roman" w:cs="Times New Roman" w:eastAsia="Times New Roman" w:hAnsi="Times New Roman"/>
          <w:sz w:val="18"/>
          <w:szCs w:val="18"/>
          <w:color w:val="0C0C0C"/>
        </w:rPr>
        <w:t>of incremental adjusted gross margin generated pursuant to the program. Eastern Shore expects to generate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C0C0C"/>
        </w:rPr>
        <w:t>adjusted gross margin of approximately $9.0 million in 2026 and $10.1 million in 2027 from relocation projects, which is ultimately dependent upon the timing of filings and the completion of construction.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Storm Protection Plan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2020, the Florida PSC implemented the Storm Protection Plan ("SPP") and Storm Protection Plan Cost Recovery Clause ("SPPCRC"), which require electric utilities to petition the Florida PSC for approval of a Transmission and Distribution Storm Protection Plan that covers the utility’s immediate 10-year planning period with updates to the plan at least every 3 years. The SPPCRC rules allow the utility to file for recovery of associated costs related to its SPP. Our Florida electric distribution operation's SPP and SPPCRC were filed and approved in 2022, with modifications, by the Florida PSC. Rates associated with this initiative were effective in January 2023. In October 2024, the Florida PSC approved the Company's projected 2025 SPP costs of </w:t>
      </w:r>
      <w:r>
        <w:rPr>
          <w:rFonts w:ascii="Times New Roman" w:cs="Times New Roman" w:eastAsia="Times New Roman" w:hAnsi="Times New Roman"/>
          <w:sz w:val="18"/>
          <w:szCs w:val="18"/>
          <w:color w:val="0C0C0C"/>
        </w:rPr>
        <w:t xml:space="preserve">$20.4 million </w:t>
      </w:r>
      <w:r>
        <w:rPr>
          <w:rFonts w:ascii="Times New Roman" w:cs="Times New Roman" w:eastAsia="Times New Roman" w:hAnsi="Times New Roman"/>
          <w:sz w:val="18"/>
          <w:szCs w:val="18"/>
          <w:color w:val="000000"/>
        </w:rPr>
        <w:t>for both capital and operating expenses. Our Florida electric distribution operations filed an updated SPP plan in January 2025 which was</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000000"/>
        </w:rPr>
        <w:t xml:space="preserve">approved in June 2025, with modifications by the Florida PSC. For the three months ended March 31, 2026, this initiative generated additional adjusted gross margin of $2.2 million and is expected to generate </w:t>
      </w:r>
      <w:r>
        <w:rPr>
          <w:rFonts w:ascii="Times New Roman" w:cs="Times New Roman" w:eastAsia="Times New Roman" w:hAnsi="Times New Roman"/>
          <w:sz w:val="18"/>
          <w:szCs w:val="18"/>
          <w:color w:val="0C0C0C"/>
        </w:rPr>
        <w:t>$10.7 million</w:t>
      </w:r>
      <w:r>
        <w:rPr>
          <w:rFonts w:ascii="Times New Roman" w:cs="Times New Roman" w:eastAsia="Times New Roman" w:hAnsi="Times New Roman"/>
          <w:sz w:val="18"/>
          <w:szCs w:val="18"/>
          <w:color w:val="000000"/>
        </w:rPr>
        <w:t xml:space="preserve"> of adjusted gross margin in 2026 and </w:t>
      </w:r>
      <w:r>
        <w:rPr>
          <w:rFonts w:ascii="Times New Roman" w:cs="Times New Roman" w:eastAsia="Times New Roman" w:hAnsi="Times New Roman"/>
          <w:sz w:val="18"/>
          <w:szCs w:val="18"/>
          <w:color w:val="0C0C0C"/>
        </w:rPr>
        <w:t>$11.0 million</w:t>
      </w:r>
      <w:r>
        <w:rPr>
          <w:rFonts w:ascii="Times New Roman" w:cs="Times New Roman" w:eastAsia="Times New Roman" w:hAnsi="Times New Roman"/>
          <w:sz w:val="18"/>
          <w:szCs w:val="18"/>
          <w:color w:val="000000"/>
        </w:rPr>
        <w:t xml:space="preserve"> in 2027. We expect continued investment under the SPP going forward.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Florida Mandatory Relocates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2025, FPU and FCG filed a joint petition for approval to establish a recovery surcharge for actual, estimated and projected relocation costs pursuant to the Florida Administrative Code which enables companies to recover the costs associated with relocating or reconstructing facilities that have been required by governmental entities. The Florida PSC approved the petition in February 2026, with the surcharge effective in March 2026. For the three months ended March 31, 2026, there was $0.5 million of adjusted gross margin generated. The projected total revenue for both 2026 and 2027 is $0.5 million for FPU and $1.0 million for FCG.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Maryland Natural Gas Rate Case</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January 2024, our natural gas distribution businesses in Maryland, CUC-Maryland Division, Sandpiper Energy, Inc., and Elkton Gas Company (collectively, the “Maryland natural gas distribution businesses”) filed a joint application for a natural gas rate case with the Maryland PSC. In connection with the application, we sought approval of the following: (i) permanent rate relief of approximately $6.9 million with a ROE of 11.5 percent; (ii) authorization to make certain changes to tariffs to include a unified rate structure and to consolidate the Maryland natural gas distribution businesses; and</w:t>
      </w:r>
    </w:p>
    <w:p>
      <w:pPr>
        <w:spacing w:after="0" w:line="2" w:lineRule="exact"/>
        <w:rPr>
          <w:sz w:val="20"/>
          <w:szCs w:val="20"/>
          <w:color w:val="auto"/>
        </w:rPr>
      </w:pPr>
    </w:p>
    <w:p>
      <w:pPr>
        <w:jc w:val="both"/>
        <w:ind w:firstLine="8"/>
        <w:spacing w:after="0" w:line="251" w:lineRule="auto"/>
        <w:tabs>
          <w:tab w:leader="none" w:pos="3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establish a rider for recovery of the costs associated with our new technology systems. In September 2024, the Maryland Public Utility Judge approved a $2.6 million increase in annual base rates, which was followed by the Company submitting a Phase II filing in November 2024 to determine rate design across the Maryland natural gas distribution businesses, consolidation of the applicable tariffs and recovery of technology costs. In March 2025 the Phase II was approved, including an additional $0.9 million in revenue requirement, for a total cumulative increase of $3.5 million. A final order was issued in April 2025 and included approval of the consolidation of the operations and the assets of CUC-Maryland Division, Sandpiper Energy, and Elkton Gas into one entity which was renamed and operates as Chesapeake Utilities of Maryland, Inc. For the three months ended March 31, 2026, there was $1.3 million of incremental adjusted gross margin generated and the proceeding is expected to result in additional adjusted gross margin of approximately $3.5 million in 2026 and 2027.</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Natural Gas Rate Case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2024, our Delaware natural gas division filed an application for a natural gas rate case with the Delaware PSC seeking approval of the following:</w:t>
      </w:r>
    </w:p>
    <w:p>
      <w:pPr>
        <w:spacing w:after="0" w:line="9" w:lineRule="exact"/>
        <w:rPr>
          <w:sz w:val="20"/>
          <w:szCs w:val="20"/>
          <w:color w:val="auto"/>
        </w:rPr>
      </w:pPr>
    </w:p>
    <w:p>
      <w:pPr>
        <w:ind w:firstLine="8"/>
        <w:spacing w:after="0" w:line="260" w:lineRule="auto"/>
        <w:tabs>
          <w:tab w:leader="none" w:pos="23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rate relief of approximately $12.1 million with a ROE of 11.5 percent; (ii) proposed changes to depreciation rates which were part of a depreciation study also submitted with the filing; and (iii)</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authorization to make certain changes to tariffs. Annualized interim rates were approved by the Delaware PSC in the amount of $2.5 million and became effective in October 2024. A settlement among all interested parties was reached and approved by the Delaware PSC in June 2025 providing an annual revenue increase of $6.1 million, as well as dividing the rate case into two phases. Rates set to recover the approved components of the increase were effective in March 2025 and approved tariff-related changes including rate design were effective as of October 15, 2025. For the three months ended March 31, 2026, there was $1.3 million of incremental adjusted gross margin generated and final rates are expected to generate approximately $6.1 million of adjusted gross margin in 2026 and 2027.</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FPU Electric Rate Case</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August 2024, our Florida Electric division filed a petition with the Florida PSC seeking a general base rate increase of $12.6 million with a ROE of 11.3 percent based on a 2025 projected test year. Annualized interim rates of approximately $1.8 million were approved with an effective date of November 1, 2024. In March 2025, the Florida PSC approved the permanent rate increase, but the order was subsequently protested. In May 2025, the Company reached a settlement agreement with the interested parties. This settlement which was approved by the Florida PSC in July 2025, provides for a total base rate increase of approximately $8.6 million on an annual basis, with $1.0 million of the increase deferred from the first year's base rate increase and recovered over three years. A step-up rate increase was also approved for up to $0.7 million, upon completion of the purchase and refurbishment of certain substations, which is expected to be completed in December 2026. For the three months ended March 31, 2026, there was $1.5 million of incremental adjusted gross margin generated </w:t>
      </w:r>
      <w:r>
        <w:rPr>
          <w:rFonts w:ascii="Times New Roman" w:cs="Times New Roman" w:eastAsia="Times New Roman" w:hAnsi="Times New Roman"/>
          <w:sz w:val="18"/>
          <w:szCs w:val="18"/>
          <w:color w:val="0C0C0C"/>
        </w:rPr>
        <w:t>and final rates are expected</w:t>
      </w:r>
      <w:r>
        <w:rPr>
          <w:rFonts w:ascii="Times New Roman" w:cs="Times New Roman" w:eastAsia="Times New Roman" w:hAnsi="Times New Roman"/>
          <w:sz w:val="18"/>
          <w:szCs w:val="18"/>
          <w:color w:val="auto"/>
        </w:rPr>
        <w:t xml:space="preserve"> to generate approximately $8.6 million of adjusted gross margin in 2026 and $9.1 million in 2027.</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FCG Rate Case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2026, Florida City Gas filed a petition with the Florida PSC. In connection with the application, we are seeking approval of the following: (i) interim rate relief of approximately $16.2 million, subject to refund, pending the outcome of the rate case proceeding; (ii) general base rate increase of $46.9 million with a ROE of 11.25 percent based on a 2027 projected test year; (iii) reclassification of approximately $16.4 million in the existing SAFE program revenues from surcharge recovery to base rates; (iv) authorization to retain the unamortized portion of the previously approved acquisition adjustment; and (v) further implementation of the advanced metering infrastructure (“AMI”). The outcome of the application will be subject to review and approval by the Florida PSC.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FCG Depreciation Study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2025, FCG filed a depreciation study with the Florida PSC. The application requested approval of revised annual depreciation rates, as well as a reduction related to a reserve imbalance that would be amortized over a two-year period. In February 2026, the Florida PSC approved a $6.8 million reserve imbalance to be amortized over the remaining life of the assets.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Major Factors Influencing Adjusted Gross Margin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Weather Impact</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 xml:space="preserve">For the three months ended March 31, 2026, increased customer consumption, which includes the effects of colder weather conditions, largely in our Delmarva service areas, </w:t>
      </w:r>
      <w:r>
        <w:rPr>
          <w:rFonts w:ascii="Times New Roman" w:cs="Times New Roman" w:eastAsia="Times New Roman" w:hAnsi="Times New Roman"/>
          <w:sz w:val="18"/>
          <w:szCs w:val="18"/>
          <w:color w:val="0C0C0C"/>
        </w:rPr>
        <w:t>compared to the prior-year period resulted in a</w:t>
      </w:r>
      <w:r>
        <w:rPr>
          <w:rFonts w:ascii="Times New Roman" w:cs="Times New Roman" w:eastAsia="Times New Roman" w:hAnsi="Times New Roman"/>
          <w:sz w:val="18"/>
          <w:szCs w:val="18"/>
          <w:color w:val="auto"/>
        </w:rPr>
        <w:t xml:space="preserve"> $4.5 million </w:t>
      </w:r>
      <w:r>
        <w:rPr>
          <w:rFonts w:ascii="Times New Roman" w:cs="Times New Roman" w:eastAsia="Times New Roman" w:hAnsi="Times New Roman"/>
          <w:sz w:val="18"/>
          <w:szCs w:val="18"/>
          <w:color w:val="0C0C0C"/>
        </w:rPr>
        <w:t>increase in adjusted gross margin.</w:t>
      </w:r>
    </w:p>
    <w:p>
      <w:pPr>
        <w:spacing w:after="0" w:line="1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HDD and CDD variances from the 10-year average HDD/CDD ("Normal") for the three months ended March 31, 2026 and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tcPr>
          <w:p>
            <w:pPr>
              <w:spacing w:after="0"/>
              <w:rPr>
                <w:sz w:val="19"/>
                <w:szCs w:val="19"/>
                <w:color w:val="auto"/>
              </w:rPr>
            </w:pPr>
          </w:p>
        </w:tc>
        <w:tc>
          <w:tcPr>
            <w:tcW w:w="25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8"/>
        </w:trPr>
        <w:tc>
          <w:tcPr>
            <w:tcW w:w="7400" w:type="dxa"/>
            <w:vAlign w:val="bottom"/>
          </w:tcPr>
          <w:p>
            <w:pPr>
              <w:spacing w:after="0"/>
              <w:rPr>
                <w:sz w:val="20"/>
                <w:szCs w:val="20"/>
                <w:color w:val="auto"/>
              </w:rPr>
            </w:pPr>
          </w:p>
        </w:tc>
        <w:tc>
          <w:tcPr>
            <w:tcW w:w="16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74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0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Delmarva Peninsula</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Actual HDD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10-Year Average HDD ("Normal")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Variance from Normal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Actual HDD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10-Year Average HDD ("Normal")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Variance from Normal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Florida City Gas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Actual HDD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10-Year Average HDD ("Normal")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Variance from Normal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Ohio</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Actual HDD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10-Year Average HDD ("Normal")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Variance from Normal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Actual CDD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10-Year Average CDD ("Normal")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Variance from Normal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Gas Distribution Growth</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average number of residential customers served on the Delmarva Peninsula, by FPU and by FCG increased by approximately 3.3 percent, 2.2 percent, and 2.0 percent, respectively, for the three months ended March 31, 2026.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The details of the adjusted gross margin increase are provided in the following table:</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0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169"/>
        </w:trPr>
        <w:tc>
          <w:tcPr>
            <w:tcW w:w="8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Delmarva</w:t>
            </w:r>
          </w:p>
        </w:tc>
        <w:tc>
          <w:tcPr>
            <w:tcW w:w="280" w:type="dxa"/>
            <w:vAlign w:val="bottom"/>
          </w:tcPr>
          <w:p>
            <w:pPr>
              <w:spacing w:after="0"/>
              <w:rPr>
                <w:sz w:val="14"/>
                <w:szCs w:val="14"/>
                <w:color w:val="auto"/>
              </w:rPr>
            </w:pPr>
          </w:p>
        </w:tc>
        <w:tc>
          <w:tcPr>
            <w:tcW w:w="12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21"/>
                <w:szCs w:val="21"/>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Peninsula</w:t>
            </w:r>
          </w:p>
        </w:tc>
        <w:tc>
          <w:tcPr>
            <w:tcW w:w="28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Growth:</w:t>
            </w: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8"/>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Customer Growth</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Regulated Energy Segment</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73"/>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quarter ended March 31, 2026 compared to the quarter ended March 31, 2025:</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2"/>
        </w:trPr>
        <w:tc>
          <w:tcPr>
            <w:tcW w:w="7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8"/>
        </w:trPr>
        <w:tc>
          <w:tcPr>
            <w:tcW w:w="7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3"/>
        </w:trPr>
        <w:tc>
          <w:tcPr>
            <w:tcW w:w="7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73"/>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9"/>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Regulated natural gas and electric costs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3"/>
        </w:trPr>
        <w:tc>
          <w:tcPr>
            <w:tcW w:w="74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gross margin </w:t>
            </w:r>
            <w:r>
              <w:rPr>
                <w:rFonts w:ascii="Times New Roman" w:cs="Times New Roman" w:eastAsia="Times New Roman" w:hAnsi="Times New Roman"/>
                <w:sz w:val="23"/>
                <w:szCs w:val="23"/>
                <w:color w:val="auto"/>
                <w:vertAlign w:val="superscript"/>
              </w:rPr>
              <w:t>(1) (2)</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&amp; maintenance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7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amortization and property taxes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taxes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7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FCG transaction and transition-related expenses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firstLine="8"/>
        <w:spacing w:after="0" w:line="302" w:lineRule="auto"/>
        <w:tabs>
          <w:tab w:leader="none" w:pos="138"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Gross Margin is a non-GAAP measure utilized by management to review business unit performance. For a more detailed discussion on the differences between Gross Margin (GAAP) and Adjusted Gross Margin, see the Reconciliation of GAAP to Non-GAAP Measures presented above.</w:t>
      </w:r>
    </w:p>
    <w:p>
      <w:pPr>
        <w:spacing w:after="0" w:line="40" w:lineRule="exact"/>
        <w:rPr>
          <w:rFonts w:ascii="Times New Roman" w:cs="Times New Roman" w:eastAsia="Times New Roman" w:hAnsi="Times New Roman"/>
          <w:sz w:val="9"/>
          <w:szCs w:val="9"/>
          <w:color w:val="auto"/>
        </w:rPr>
      </w:pPr>
    </w:p>
    <w:p>
      <w:pPr>
        <w:ind w:firstLine="8"/>
        <w:spacing w:after="0" w:line="337" w:lineRule="auto"/>
        <w:tabs>
          <w:tab w:leader="none" w:pos="132" w:val="left"/>
        </w:tabs>
        <w:numPr>
          <w:ilvl w:val="0"/>
          <w:numId w:val="2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current period includes offsetting reductions in both adjusted gross margin and depreciation and amortization expense related to the absence of recovered costs associated with Hurricane Michael. See Key variances table above for additional information.</w:t>
      </w:r>
    </w:p>
    <w:p>
      <w:pPr>
        <w:spacing w:after="0" w:line="12" w:lineRule="exact"/>
        <w:rPr>
          <w:rFonts w:ascii="Times New Roman" w:cs="Times New Roman" w:eastAsia="Times New Roman" w:hAnsi="Times New Roman"/>
          <w:sz w:val="15"/>
          <w:szCs w:val="15"/>
          <w:color w:val="auto"/>
          <w:vertAlign w:val="superscript"/>
        </w:rPr>
      </w:pPr>
    </w:p>
    <w:p>
      <w:pPr>
        <w:ind w:firstLine="8"/>
        <w:spacing w:after="0"/>
        <w:tabs>
          <w:tab w:leader="none" w:pos="132" w:val="left"/>
        </w:tabs>
        <w:numPr>
          <w:ilvl w:val="0"/>
          <w:numId w:val="2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Transaction and transition-related expenses represent costs incurred attributable to the acquisition and integration of FCG including, but not limited to, transition services, consulting, system integration, rebranding and legal fees.</w:t>
      </w:r>
    </w:p>
    <w:p>
      <w:pPr>
        <w:spacing w:after="0" w:line="200" w:lineRule="exact"/>
        <w:rPr>
          <w:sz w:val="20"/>
          <w:szCs w:val="20"/>
          <w:color w:val="auto"/>
        </w:rPr>
      </w:pPr>
    </w:p>
    <w:p>
      <w:pPr>
        <w:spacing w:after="0" w:line="3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income for the Regulated Energy segment for the first quarter of 2026 was $71.1 million, an increase of $10.6 million, over the same period in 2025. Excluding transaction and transition-related expenses associated with the acquisition and integration of FCG, operating income increased $10.3 million, or 16.9 percent, compared to the same period in 2025. Higher operating income reflects incremental margin from regulatory initiatives and infrastructure programs, pipeline expansion projects, and organic growth in our natural gas distribution businesses. Excluding the transaction and transition-related expenses described above, the increase in total operating expenses of $9.3 million was largely attributable to higher expenses associated with payroll, benefits and other employee related expenses, higher facilities, maintenance costs and outside services, and increased costs related to credit, collections and customer service. Depreciation and amortization expense for the current period includes decreases related to certain regulatory items including the absence of recovered costs associated with Hurricane Michael and the impact of the FCG depreciation study. These amounts were largely offset by additional depreciation, amortization and property taxes associated with growth.</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contributing to the quarter-over-quarter increase in adjusted gross margin are listed in the following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9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transmission service expansions, including interim services</w:t>
            </w: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 from regulated infrastructure programs</w:t>
            </w: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9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Rate changes associated with recent rate case activities </w:t>
            </w:r>
            <w:r>
              <w:rPr>
                <w:rFonts w:ascii="Times New Roman" w:cs="Times New Roman" w:eastAsia="Times New Roman" w:hAnsi="Times New Roman"/>
                <w:sz w:val="23"/>
                <w:szCs w:val="23"/>
                <w:color w:val="auto"/>
                <w:vertAlign w:val="superscript"/>
              </w:rPr>
              <w:t>(1)</w:t>
            </w: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growth including conversions (excluding service expansions)</w:t>
            </w: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customer consumption</w:t>
            </w: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margin from off-system natural gas capacity sales</w:t>
            </w: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9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Absence of recovered costs associated with Hurricane Michael </w:t>
            </w:r>
            <w:r>
              <w:rPr>
                <w:rFonts w:ascii="Times New Roman" w:cs="Times New Roman" w:eastAsia="Times New Roman" w:hAnsi="Times New Roman"/>
                <w:sz w:val="23"/>
                <w:szCs w:val="23"/>
                <w:color w:val="auto"/>
                <w:vertAlign w:val="superscript"/>
              </w:rPr>
              <w:t>(2)</w:t>
            </w: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variances</w:t>
            </w:r>
          </w:p>
        </w:tc>
        <w:tc>
          <w:tcPr>
            <w:tcW w:w="8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Quarter-over-quarter increase in adjusted gross margin</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140" w:hanging="132"/>
        <w:spacing w:after="0"/>
        <w:tabs>
          <w:tab w:leader="none" w:pos="14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adjusted gross margin contributions from permanent base rates. Refer to Major Projects discussion for additional information.</w:t>
      </w:r>
    </w:p>
    <w:p>
      <w:pPr>
        <w:spacing w:after="0" w:line="27" w:lineRule="exact"/>
        <w:rPr>
          <w:rFonts w:ascii="Times New Roman" w:cs="Times New Roman" w:eastAsia="Times New Roman" w:hAnsi="Times New Roman"/>
          <w:sz w:val="9"/>
          <w:szCs w:val="9"/>
          <w:color w:val="auto"/>
        </w:rPr>
      </w:pPr>
    </w:p>
    <w:p>
      <w:pPr>
        <w:ind w:right="180" w:firstLine="8"/>
        <w:spacing w:after="0"/>
        <w:tabs>
          <w:tab w:leader="none" w:pos="132" w:val="left"/>
        </w:tabs>
        <w:numPr>
          <w:ilvl w:val="0"/>
          <w:numId w:val="2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current period includes offsetting reductions in both adjusted gross margin and depreciation and amortization expense related to the absence of recovered costs associated with Hurricane Michael.</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narrative discussion provides further detail and analysis of the significant items in the table above: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Transmission Service Expansions, including interim services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generated increased adjusted gross margin of $6.9 million for the three months ended March 31, 2026 from natural gas transmission service expansions of Peninsula Pipeline and Eastern Shore.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Contributions from Regulated Infrastructure Programs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Regulated infrastructure programs generated incremental adjusted gross margin of $5.5 million for the three months ended March 31, 2026. The increase in adjusted gross margin was primarily related to FCG's SAFE program, Florida's GUARD program, Eastern Shore's Capital Cost Surcharge program, and FPU Electric's SPP. Refer to Note 5, </w:t>
      </w:r>
      <w:r>
        <w:rPr>
          <w:rFonts w:ascii="Times New Roman" w:cs="Times New Roman" w:eastAsia="Times New Roman" w:hAnsi="Times New Roman"/>
          <w:sz w:val="18"/>
          <w:szCs w:val="18"/>
          <w:i w:val="1"/>
          <w:iCs w:val="1"/>
          <w:color w:val="auto"/>
        </w:rPr>
        <w:t>Rates and Other Regulatory Activities</w:t>
      </w:r>
      <w:r>
        <w:rPr>
          <w:rFonts w:ascii="Times New Roman" w:cs="Times New Roman" w:eastAsia="Times New Roman" w:hAnsi="Times New Roman"/>
          <w:sz w:val="18"/>
          <w:szCs w:val="18"/>
          <w:color w:val="auto"/>
        </w:rPr>
        <w:t>, in the condensed consolidated financial statements for additional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Rate Changes Associated with Recent Rate Case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Rate changes associated with the Delaware and Maryland natural gas rate cases and Florida Electric base rate case contributed additional adjusted gross margin of $4.1 million for the three months ended March 31, 2026. Refer to Note 5, </w:t>
      </w:r>
      <w:r>
        <w:rPr>
          <w:rFonts w:ascii="Times New Roman" w:cs="Times New Roman" w:eastAsia="Times New Roman" w:hAnsi="Times New Roman"/>
          <w:sz w:val="18"/>
          <w:szCs w:val="18"/>
          <w:i w:val="1"/>
          <w:iCs w:val="1"/>
          <w:color w:val="auto"/>
        </w:rPr>
        <w:t>Rates and Other Regulatory Activities</w:t>
      </w:r>
      <w:r>
        <w:rPr>
          <w:rFonts w:ascii="Times New Roman" w:cs="Times New Roman" w:eastAsia="Times New Roman" w:hAnsi="Times New Roman"/>
          <w:sz w:val="18"/>
          <w:szCs w:val="18"/>
          <w:color w:val="auto"/>
        </w:rPr>
        <w:t>, in the condensed consolidated financial statements for additional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Distribution Customer Growth</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generated additional adjusted gross margin of $2.0 million from natural gas customer growth. Adjusted gross margin increased by $1.5 million for our Florida natural gas distribution service territories and $0.5 million on the Delmarva Peninsula for the three months ended March 31, 2026, as compared to the same period in 2025, due to residential customer growth in these service areas, as well as growth attributable to commercial and industrial customers.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Customer Consumption</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Customer consumption, inclusive of weather-related consumption, increased adjusted gross margin by $1.7 million for the three months ended March 31, 2026.</w:t>
      </w:r>
    </w:p>
    <w:p>
      <w:pPr>
        <w:spacing w:after="0" w:line="206" w:lineRule="exact"/>
        <w:rPr>
          <w:sz w:val="20"/>
          <w:szCs w:val="20"/>
          <w:color w:val="auto"/>
        </w:rPr>
      </w:pPr>
    </w:p>
    <w:p>
      <w:pPr>
        <w:ind w:right="18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Gross Margin from Off-system Natural Gas Capacity Sales </w:t>
      </w:r>
      <w:r>
        <w:rPr>
          <w:rFonts w:ascii="Times New Roman" w:cs="Times New Roman" w:eastAsia="Times New Roman" w:hAnsi="Times New Roman"/>
          <w:sz w:val="18"/>
          <w:szCs w:val="18"/>
          <w:color w:val="auto"/>
        </w:rPr>
        <w:t>Off-system natural gas capacity sales increased adjusted gross margin by $1.1 million for the three months ended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Absence of Recovered Costs Associated with Hurricane Michael</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is no impact to earnings as this $2.0 million decrease in adjusted gross margin for the three months ended March 31, 2026, is offset by a corresponding decrease in depreciation and amortization expense for the period.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contributing to the quarter-over-quarter increase in operating expenses are listed in the following table:</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Payroll, benefits and other employee-related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-127635</wp:posOffset>
            </wp:positionV>
            <wp:extent cx="7012305"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12305" cy="14541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Facilities expenses, maintenance costs and outside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12305" cy="14541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Credit, collections and customer service costs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amortization and property tax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12305" cy="14605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 xml:space="preserve">Absence of amortization of costs associated with Hurricane Michael recovery </w:t>
      </w:r>
      <w:r>
        <w:rPr>
          <w:rFonts w:ascii="Times New Roman" w:cs="Times New Roman" w:eastAsia="Times New Roman" w:hAnsi="Times New Roman"/>
          <w:sz w:val="23"/>
          <w:szCs w:val="23"/>
          <w:color w:val="auto"/>
          <w:vertAlign w:val="superscript"/>
        </w:rPr>
        <w:t>(1)</w:t>
      </w:r>
    </w:p>
    <w:p>
      <w:pPr>
        <w:ind w:left="120"/>
        <w:spacing w:after="0"/>
        <w:rPr>
          <w:sz w:val="20"/>
          <w:szCs w:val="20"/>
          <w:color w:val="auto"/>
        </w:rPr>
      </w:pPr>
      <w:r>
        <w:rPr>
          <w:rFonts w:ascii="Times New Roman" w:cs="Times New Roman" w:eastAsia="Times New Roman" w:hAnsi="Times New Roman"/>
          <w:sz w:val="18"/>
          <w:szCs w:val="18"/>
          <w:color w:val="auto"/>
        </w:rPr>
        <w:t>Other variances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4445</wp:posOffset>
            </wp:positionV>
            <wp:extent cx="701230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Quarter-over-quarter increase in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(5.0)</w:t>
            </w:r>
          </w:p>
        </w:tc>
      </w:tr>
      <w:tr>
        <w:trPr>
          <w:trHeight w:val="230"/>
        </w:trPr>
        <w:tc>
          <w:tcPr>
            <w:tcW w:w="960" w:type="dxa"/>
            <w:vAlign w:val="bottom"/>
          </w:tcPr>
          <w:p>
            <w:pPr>
              <w:spacing w:after="0"/>
              <w:rPr>
                <w:sz w:val="19"/>
                <w:szCs w:val="19"/>
                <w:color w:val="auto"/>
              </w:rPr>
            </w:pPr>
          </w:p>
        </w:tc>
        <w:tc>
          <w:tcPr>
            <w:tcW w:w="12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(2.7)</w:t>
            </w:r>
          </w:p>
        </w:tc>
      </w:tr>
      <w:tr>
        <w:trPr>
          <w:trHeight w:val="229"/>
        </w:trPr>
        <w:tc>
          <w:tcPr>
            <w:tcW w:w="960" w:type="dxa"/>
            <w:vAlign w:val="bottom"/>
          </w:tcPr>
          <w:p>
            <w:pPr>
              <w:spacing w:after="0"/>
              <w:rPr>
                <w:sz w:val="19"/>
                <w:szCs w:val="19"/>
                <w:color w:val="auto"/>
              </w:rPr>
            </w:pPr>
          </w:p>
        </w:tc>
        <w:tc>
          <w:tcPr>
            <w:tcW w:w="12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(1.4)</w:t>
            </w:r>
          </w:p>
        </w:tc>
      </w:tr>
      <w:tr>
        <w:trPr>
          <w:trHeight w:val="230"/>
        </w:trPr>
        <w:tc>
          <w:tcPr>
            <w:tcW w:w="960" w:type="dxa"/>
            <w:vAlign w:val="bottom"/>
          </w:tcPr>
          <w:p>
            <w:pPr>
              <w:spacing w:after="0"/>
              <w:rPr>
                <w:sz w:val="19"/>
                <w:szCs w:val="19"/>
                <w:color w:val="auto"/>
              </w:rPr>
            </w:pPr>
          </w:p>
        </w:tc>
        <w:tc>
          <w:tcPr>
            <w:tcW w:w="12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8"/>
              </w:rPr>
              <w:t>(1.1)</w:t>
            </w:r>
          </w:p>
        </w:tc>
      </w:tr>
      <w:tr>
        <w:trPr>
          <w:trHeight w:val="229"/>
        </w:trPr>
        <w:tc>
          <w:tcPr>
            <w:tcW w:w="960" w:type="dxa"/>
            <w:vAlign w:val="bottom"/>
          </w:tcPr>
          <w:p>
            <w:pPr>
              <w:spacing w:after="0"/>
              <w:rPr>
                <w:sz w:val="19"/>
                <w:szCs w:val="19"/>
                <w:color w:val="auto"/>
              </w:rPr>
            </w:pPr>
          </w:p>
        </w:tc>
        <w:tc>
          <w:tcPr>
            <w:tcW w:w="12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9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8"/>
              </w:rPr>
              <w:t>(0.8)</w:t>
            </w:r>
          </w:p>
        </w:tc>
      </w:tr>
      <w:tr>
        <w:trPr>
          <w:trHeight w:val="223"/>
        </w:trPr>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(9.0)</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2">
            <w:col w:w="8240" w:space="720"/>
            <w:col w:w="2180"/>
          </w:cols>
          <w:pgMar w:left="320" w:top="124" w:right="439" w:bottom="1440" w:gutter="0" w:footer="0" w:header="0"/>
        </w:sectPr>
      </w:pPr>
    </w:p>
    <w:p>
      <w:pPr>
        <w:ind w:right="80" w:firstLine="8"/>
        <w:spacing w:after="0"/>
        <w:tabs>
          <w:tab w:leader="none" w:pos="132" w:val="left"/>
        </w:tabs>
        <w:numPr>
          <w:ilvl w:val="0"/>
          <w:numId w:val="2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current period includes offsetting reductions in both adjusted gross margin and depreciation and amortization expense related to the absence of recovered costs associated with Hurricane Michael.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4" w:right="4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Unregulated Energy Segment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92"/>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quarter ended March 31, 2026 compared to the quarter ended March 31, 2025:</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29"/>
        </w:trPr>
        <w:tc>
          <w:tcPr>
            <w:tcW w:w="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73"/>
        </w:trPr>
        <w:tc>
          <w:tcPr>
            <w:tcW w:w="40" w:type="dxa"/>
            <w:vAlign w:val="bottom"/>
          </w:tcPr>
          <w:p>
            <w:pPr>
              <w:spacing w:after="0"/>
              <w:rPr>
                <w:sz w:val="15"/>
                <w:szCs w:val="15"/>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3"/>
        </w:trPr>
        <w:tc>
          <w:tcPr>
            <w:tcW w:w="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40" w:type="dxa"/>
            <w:vAlign w:val="bottom"/>
          </w:tcPr>
          <w:p>
            <w:pPr>
              <w:spacing w:after="0"/>
              <w:rPr>
                <w:sz w:val="19"/>
                <w:szCs w:val="19"/>
                <w:color w:val="auto"/>
              </w:rPr>
            </w:pP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40" w:type="dxa"/>
            <w:vAlign w:val="bottom"/>
          </w:tcPr>
          <w:p>
            <w:pPr>
              <w:spacing w:after="0"/>
              <w:rPr>
                <w:sz w:val="19"/>
                <w:szCs w:val="19"/>
                <w:color w:val="auto"/>
              </w:rPr>
            </w:pPr>
          </w:p>
        </w:tc>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Unregulated propane and natural gas costs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40" w:type="dxa"/>
            <w:vAlign w:val="bottom"/>
          </w:tcPr>
          <w:p>
            <w:pPr>
              <w:spacing w:after="0"/>
              <w:rPr>
                <w:sz w:val="19"/>
                <w:szCs w:val="19"/>
                <w:color w:val="auto"/>
              </w:rPr>
            </w:pPr>
          </w:p>
        </w:tc>
        <w:tc>
          <w:tcPr>
            <w:tcW w:w="68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gross margin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40" w:type="dxa"/>
            <w:vAlign w:val="bottom"/>
          </w:tcPr>
          <w:p>
            <w:pPr>
              <w:spacing w:after="0"/>
              <w:rPr>
                <w:sz w:val="19"/>
                <w:szCs w:val="19"/>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&amp; maintenance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8"/>
              </w:rPr>
              <w:t>(1.7)</w:t>
            </w:r>
          </w:p>
        </w:tc>
      </w:tr>
      <w:tr>
        <w:trPr>
          <w:trHeight w:val="229"/>
        </w:trPr>
        <w:tc>
          <w:tcPr>
            <w:tcW w:w="40" w:type="dxa"/>
            <w:vAlign w:val="bottom"/>
          </w:tcPr>
          <w:p>
            <w:pPr>
              <w:spacing w:after="0"/>
              <w:rPr>
                <w:sz w:val="19"/>
                <w:szCs w:val="19"/>
                <w:color w:val="auto"/>
              </w:rPr>
            </w:pP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property tax costs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8"/>
              </w:rPr>
              <w:t>(0.3)</w:t>
            </w:r>
          </w:p>
        </w:tc>
      </w:tr>
      <w:tr>
        <w:trPr>
          <w:trHeight w:val="229"/>
        </w:trPr>
        <w:tc>
          <w:tcPr>
            <w:tcW w:w="40" w:type="dxa"/>
            <w:vAlign w:val="bottom"/>
          </w:tcPr>
          <w:p>
            <w:pPr>
              <w:spacing w:after="0"/>
              <w:rPr>
                <w:sz w:val="19"/>
                <w:szCs w:val="19"/>
                <w:color w:val="auto"/>
              </w:rPr>
            </w:pPr>
          </w:p>
        </w:tc>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taxes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8"/>
              </w:rPr>
              <w:t>(0.1)</w:t>
            </w:r>
          </w:p>
        </w:tc>
      </w:tr>
      <w:tr>
        <w:trPr>
          <w:trHeight w:val="223"/>
        </w:trPr>
        <w:tc>
          <w:tcPr>
            <w:tcW w:w="40" w:type="dxa"/>
            <w:vAlign w:val="bottom"/>
          </w:tcPr>
          <w:p>
            <w:pPr>
              <w:spacing w:after="0"/>
              <w:rPr>
                <w:sz w:val="19"/>
                <w:szCs w:val="19"/>
                <w:color w:val="auto"/>
              </w:rPr>
            </w:pP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8"/>
              </w:rPr>
              <w:t>(2.1)</w:t>
            </w:r>
          </w:p>
        </w:tc>
      </w:tr>
      <w:tr>
        <w:trPr>
          <w:trHeight w:val="223"/>
        </w:trPr>
        <w:tc>
          <w:tcPr>
            <w:tcW w:w="40" w:type="dxa"/>
            <w:vAlign w:val="bottom"/>
          </w:tcPr>
          <w:p>
            <w:pPr>
              <w:spacing w:after="0"/>
              <w:rPr>
                <w:sz w:val="19"/>
                <w:szCs w:val="19"/>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firstLine="8"/>
        <w:spacing w:after="0" w:line="214" w:lineRule="auto"/>
        <w:tabs>
          <w:tab w:leader="none" w:pos="179"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Adjusted Gross Margin is a non-GAAP measure utilized by management to review business unit performance. For a more detailed discussion on the differences between Gross Margin (GAAP) and Adjusted Gross Margin, see the Reconciliation of GAAP to Non-GAAP Measures presented above.</w:t>
      </w:r>
    </w:p>
    <w:p>
      <w:pPr>
        <w:spacing w:after="0" w:line="3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results for the Unregulated Energy segment for the three months ended March 31, 2026 reflect a $2.0 million increase compared to the same period in 2025. The increase in adjusted gross margin in the Unregulated Energy segment during the first quarter of 2026 was primarily due to increased consumption in our propane distribution business which was impacted by colder weather in the Delmarva service areas as well as improved performance from Aspire Energy. The increase in operating expenses included higher payroll, benefits and other employee-related expenses, increased facilities, maintenance and outside service costs, and higher depreciation, amortization and property tax costs compared to the prior-year period.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contributing to the quarter-over-quarter increase in adjusted gross margin are listed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3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w w:val="98"/>
              </w:rPr>
              <w:t>Propane Operations</w:t>
            </w:r>
          </w:p>
        </w:tc>
        <w:tc>
          <w:tcPr>
            <w:tcW w:w="79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9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Increased propane customer consumption</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7"/>
              </w:rPr>
              <w:t>2.4</w:t>
            </w:r>
          </w:p>
        </w:tc>
      </w:tr>
      <w:tr>
        <w:trPr>
          <w:trHeight w:val="189"/>
        </w:trPr>
        <w:tc>
          <w:tcPr>
            <w:tcW w:w="20" w:type="dxa"/>
            <w:vAlign w:val="bottom"/>
            <w:shd w:val="clear" w:color="auto" w:fill="CCEEFF"/>
          </w:tcPr>
          <w:p>
            <w:pPr>
              <w:spacing w:after="0"/>
              <w:rPr>
                <w:sz w:val="16"/>
                <w:szCs w:val="16"/>
                <w:color w:val="auto"/>
              </w:rPr>
            </w:pPr>
          </w:p>
        </w:tc>
        <w:tc>
          <w:tcPr>
            <w:tcW w:w="93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Aspire Energy</w:t>
            </w:r>
          </w:p>
        </w:tc>
        <w:tc>
          <w:tcPr>
            <w:tcW w:w="7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9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9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Increased performance from Aspire Energy - rate changes and gathering fees</w:t>
            </w:r>
          </w:p>
        </w:tc>
        <w:tc>
          <w:tcPr>
            <w:tcW w:w="760" w:type="dxa"/>
            <w:vAlign w:val="bottom"/>
          </w:tcPr>
          <w:p>
            <w:pPr>
              <w:spacing w:after="0"/>
              <w:rPr>
                <w:sz w:val="19"/>
                <w:szCs w:val="19"/>
                <w:color w:val="auto"/>
              </w:rPr>
            </w:pPr>
          </w:p>
        </w:tc>
        <w:tc>
          <w:tcPr>
            <w:tcW w:w="10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7"/>
              </w:rPr>
              <w:t>1.4</w:t>
            </w:r>
          </w:p>
        </w:tc>
      </w:tr>
      <w:tr>
        <w:trPr>
          <w:trHeight w:val="229"/>
        </w:trPr>
        <w:tc>
          <w:tcPr>
            <w:tcW w:w="20" w:type="dxa"/>
            <w:vAlign w:val="bottom"/>
            <w:shd w:val="clear" w:color="auto" w:fill="CCEEFF"/>
          </w:tcPr>
          <w:p>
            <w:pPr>
              <w:spacing w:after="0"/>
              <w:rPr>
                <w:sz w:val="19"/>
                <w:szCs w:val="19"/>
                <w:color w:val="auto"/>
              </w:rPr>
            </w:pPr>
          </w:p>
        </w:tc>
        <w:tc>
          <w:tcPr>
            <w:tcW w:w="9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Increased customer consumption</w:t>
            </w: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7"/>
              </w:rPr>
              <w:t>0.4</w:t>
            </w:r>
          </w:p>
        </w:tc>
      </w:tr>
      <w:tr>
        <w:trPr>
          <w:trHeight w:val="230"/>
        </w:trPr>
        <w:tc>
          <w:tcPr>
            <w:tcW w:w="20" w:type="dxa"/>
            <w:vAlign w:val="bottom"/>
            <w:tcBorders>
              <w:bottom w:val="single" w:sz="8" w:color="CCEEFF"/>
            </w:tcBorders>
          </w:tcPr>
          <w:p>
            <w:pPr>
              <w:spacing w:after="0"/>
              <w:rPr>
                <w:sz w:val="19"/>
                <w:szCs w:val="19"/>
                <w:color w:val="auto"/>
              </w:rPr>
            </w:pPr>
          </w:p>
        </w:tc>
        <w:tc>
          <w:tcPr>
            <w:tcW w:w="93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variances</w:t>
            </w:r>
          </w:p>
        </w:tc>
        <w:tc>
          <w:tcPr>
            <w:tcW w:w="7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8"/>
              </w:rPr>
              <w:t>(0.1)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3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Quarter-over-quarter increase in adjusted gross margin</w:t>
            </w: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7"/>
              </w:rPr>
              <w:t>4.1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narrative discussion provides further detail and analysis of the significant items in the table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Propane Operations</w:t>
      </w:r>
    </w:p>
    <w:p>
      <w:pPr>
        <w:spacing w:after="0" w:line="119" w:lineRule="exact"/>
        <w:rPr>
          <w:sz w:val="20"/>
          <w:szCs w:val="20"/>
          <w:color w:val="auto"/>
        </w:rPr>
      </w:pPr>
    </w:p>
    <w:p>
      <w:pPr>
        <w:ind w:left="660" w:hanging="328"/>
        <w:spacing w:after="0" w:line="284" w:lineRule="auto"/>
        <w:tabs>
          <w:tab w:leader="none" w:pos="65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Propane customer consumption - </w:t>
      </w:r>
      <w:r>
        <w:rPr>
          <w:rFonts w:ascii="Times New Roman" w:cs="Times New Roman" w:eastAsia="Times New Roman" w:hAnsi="Times New Roman"/>
          <w:sz w:val="18"/>
          <w:szCs w:val="18"/>
          <w:color w:val="auto"/>
        </w:rPr>
        <w:t>Adjusted gross margin increased by $2.4 million due to increased customer consumption resulting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colder year-over-year weather in our Delmarva service areas.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Aspire Energy</w:t>
      </w:r>
    </w:p>
    <w:p>
      <w:pPr>
        <w:spacing w:after="0" w:line="119" w:lineRule="exact"/>
        <w:rPr>
          <w:sz w:val="20"/>
          <w:szCs w:val="20"/>
          <w:color w:val="auto"/>
        </w:rPr>
      </w:pPr>
    </w:p>
    <w:p>
      <w:pPr>
        <w:ind w:left="660" w:hanging="328"/>
        <w:spacing w:after="0" w:line="284" w:lineRule="auto"/>
        <w:tabs>
          <w:tab w:leader="none" w:pos="65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Increased performance from Aspire Energy - </w:t>
      </w:r>
      <w:r>
        <w:rPr>
          <w:rFonts w:ascii="Times New Roman" w:cs="Times New Roman" w:eastAsia="Times New Roman" w:hAnsi="Times New Roman"/>
          <w:sz w:val="18"/>
          <w:szCs w:val="18"/>
          <w:color w:val="auto"/>
        </w:rPr>
        <w:t>Adjusted gross margin increased by $1.4 million compared to the prior-year period due to negotiated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changes and increased gathering fees.</w:t>
      </w:r>
    </w:p>
    <w:p>
      <w:pPr>
        <w:spacing w:after="0" w:line="50" w:lineRule="exact"/>
        <w:rPr>
          <w:rFonts w:ascii="Times New Roman" w:cs="Times New Roman" w:eastAsia="Times New Roman" w:hAnsi="Times New Roman"/>
          <w:sz w:val="18"/>
          <w:szCs w:val="18"/>
          <w:b w:val="1"/>
          <w:bCs w:val="1"/>
          <w:color w:val="auto"/>
        </w:rPr>
      </w:pPr>
    </w:p>
    <w:p>
      <w:pPr>
        <w:ind w:left="660" w:hanging="328"/>
        <w:spacing w:after="0" w:line="28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customer consumption - </w:t>
      </w:r>
      <w:r>
        <w:rPr>
          <w:rFonts w:ascii="Times New Roman" w:cs="Times New Roman" w:eastAsia="Times New Roman" w:hAnsi="Times New Roman"/>
          <w:sz w:val="18"/>
          <w:szCs w:val="18"/>
          <w:color w:val="auto"/>
        </w:rPr>
        <w:t>Adjusted gross margin increased by $0.4 million due to increased customer consumption during the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primarily related to year-over-year colder weather in our Ohio service area.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Expenses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contributing to the quarter-over-quarter increase in operating expenses are listed in the following table: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Payroll, benefits and other employee-related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5485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5485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Facilities expenses, maintenance costs and outside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5485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5485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variances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Quarter-over-quarter increase in operating expenses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quarter ended March 31, 2026 compared to the quarter ended March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4"/>
        </w:trPr>
        <w:tc>
          <w:tcPr>
            <w:tcW w:w="8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873" w:lineRule="exact"/>
        <w:rPr>
          <w:sz w:val="20"/>
          <w:szCs w:val="20"/>
          <w:color w:val="auto"/>
        </w:rPr>
      </w:pPr>
    </w:p>
    <w:p>
      <w:pPr>
        <w:sectPr>
          <w:pgSz w:w="11900" w:h="16838" w:orient="portrait"/>
          <w:cols w:equalWidth="0" w:num="2">
            <w:col w:w="8500" w:space="720"/>
            <w:col w:w="2020"/>
          </w:cols>
          <w:pgMar w:left="320" w:top="124"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which includes non-operating investment income, interest income, late fees charged to customers, gains or losses from the sale of assets and pension and other benefits expense, was not material in the first quarter of 2026 compared to $0.6 million during the prior-year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CHARGES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quarter ended March 31, 2026 compared to the quarter ended March 31, 2025</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charges for the quarter ended March 31, 2026 increased by $0.6 million compared to the same period in 2025, attributable primarily to the Senior Notes issued in August and September 2025. Interest expense on Revolver borrowings slightly offset the interest charges increase due to lower average outstanding borrowings and a steady weighted-average interest rate of 5.1 percent for the quarters ended March 31, 2026 and 2025. Increased interest charges were also offset by higher capitalized interest during the current period of $1.4 million associated with capital projects.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quarter ended March 31, 2026 compared to the quarter ended March 31, 2025</w:t>
      </w:r>
    </w:p>
    <w:p>
      <w:pPr>
        <w:spacing w:after="0" w:line="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was $21.4 million and $18.4 million for the quarters ended March 31, 2026 and March 31, 2025, respectively, resulting in an effective income tax rate of 26.5 percent and 26.6 percent, respectively, during the periods then 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INANCIAL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OSITION</w:t>
      </w:r>
      <w:r>
        <w:rPr>
          <w:rFonts w:ascii="Times New Roman" w:cs="Times New Roman" w:eastAsia="Times New Roman" w:hAnsi="Times New Roman"/>
          <w:sz w:val="18"/>
          <w:szCs w:val="18"/>
          <w:b w:val="1"/>
          <w:bCs w:val="1"/>
          <w:color w:val="auto"/>
        </w:rPr>
        <w:t>, L</w:t>
      </w:r>
      <w:r>
        <w:rPr>
          <w:rFonts w:ascii="Times New Roman" w:cs="Times New Roman" w:eastAsia="Times New Roman" w:hAnsi="Times New Roman"/>
          <w:sz w:val="14"/>
          <w:szCs w:val="14"/>
          <w:b w:val="1"/>
          <w:bCs w:val="1"/>
          <w:color w:val="auto"/>
        </w:rPr>
        <w:t>IQUIDITY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APITAL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ESOURCES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capital requirements reflect the capital-intensive and seasonal nature of our business and are principally attributable to investment in new plant and equipment, retirement of outstanding debt and seasonal variability in working capital. We rely on cash generated from operations, short-term borrowings, and other sources to meet normal working capital requirements and to temporarily finance capital expenditures, which we believe will provide sufficient liquidity to fund our current obligations, debt service requirements and capital expenditures over the next twelve months. We may also issue long-term debt and equity to fund capital expenditures and to maintain our capital structure within our target capital structure range. We maintain effective shelf registration statements with the SEC for the issuance of common stock in various types of equity offerings, including pursuant to our DRIP/DSPP and ATM program. Depending on our capital needs and subject to market conditions, in addition to other possible debt and equity offerings, we may consider issuing additional shares under the direct share purchase component of the DRIP/DSPP and/or under our ATM equity program.</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energy businesses are weather-sensitive and seasonal. We normally generate a large portion of our annual net income and subsequent increases in our accounts receivable in the first and fourth quarters of each year due to significant volumes of natural gas, electricity, and propane delivered by our distribution operations, and our natural gas transmission operations to customers during the peak-heating season. In addition, our natural gas and propane inventories, which usually peak in the fall months, are largely drawn down in the heating season and provide a source of cash as the inventory is used to satisfy winter sales demand.</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expenditures for investments in new or acquired plant and equipment are our largest capital requirements. Our capital expenditures were $121.9 million for the three months ended March 31, 2026.</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table below, we have provided the range of our forecasted capital expenditures for 2026:</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100" w:type="dxa"/>
            <w:vAlign w:val="bottom"/>
            <w:tcBorders>
              <w:bottom w:val="single" w:sz="8" w:color="auto"/>
            </w:tcBorders>
          </w:tcPr>
          <w:p>
            <w:pPr>
              <w:spacing w:after="0"/>
              <w:rPr>
                <w:sz w:val="20"/>
                <w:szCs w:val="20"/>
                <w:color w:val="auto"/>
              </w:rPr>
            </w:pPr>
          </w:p>
        </w:tc>
      </w:tr>
      <w:tr>
        <w:trPr>
          <w:trHeight w:val="223"/>
        </w:trPr>
        <w:tc>
          <w:tcPr>
            <w:tcW w:w="8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Low</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High</w:t>
            </w:r>
          </w:p>
        </w:tc>
      </w:tr>
      <w:tr>
        <w:trPr>
          <w:trHeight w:val="223"/>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Regulated distribution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29"/>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Regulated transmission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29"/>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Regulated infrastructure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Unregulated business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2026 Forecasted Capital Expenditures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450.0</w:t>
            </w:r>
          </w:p>
        </w:tc>
        <w:tc>
          <w:tcPr>
            <w:tcW w:w="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2026 projection excludes potential acquisitions due to their opportunistic nature.</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capital expenditure projection is subject to continuous review and modification. Actual capital requirements may vary from the above estimates due to a number of factors, including changing political and economic conditions, supply chain disruptions, capital delays that are greater than currently anticipated, customer growth in existing areas, regulation, new growth or acquisition opportunities and availability of capital and other factors discussed in Item 1A., Risk Factors, in our 2025 Annual Report on Form 10-K. The timing of capital expenditures can vary based on delays in regulatory approvals, securing environmental approvals and other permits. The regulatory application and approval process has lengthened in the past few years, and we expect this trend to continue.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maintaining a sound capital structure and strong credit ratings. This commitment, along with adequate and timely rate relief for our regulated energy operations, is intended to ensure our ability to attract capital from outside sources at a reasonable cost, which will benefit our customers, creditors, employees and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capitalization, excluding and including short-term borrowings, as of March 31, 2026 and December 31, 2025:</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73"/>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
        </w:trPr>
        <w:tc>
          <w:tcPr>
            <w:tcW w:w="6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1,325.3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1,651.7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 excluding short-term debt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2,977.0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609"/>
        </w:trPr>
        <w:tc>
          <w:tcPr>
            <w:tcW w:w="6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73"/>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
        </w:trPr>
        <w:tc>
          <w:tcPr>
            <w:tcW w:w="6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maturities</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1,459.9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1,651.7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1,598.5</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capitalization, including short-term debt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3,311.2</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3,218.2</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target ratio of equity to total capitalization, including short-term borrowings, is between 50 and 60 percent. Our equity to total capitalization ratio, including short-term borrowings, was 50 percent as of March 31, 2026.</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seek to align permanent financing with the in-service dates of our capital projects. We may utilize more temporary short-term debt when the financing cost is attractive as a bridge to the permanent long-term financing or if the equity markets are volatile. We may, from time to time, allow our capital structure to fall below the target range to align the completion of large capital projects with the respective permanent financing.</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we established a new ATM program under which we may sell shares of our common stock up to an aggregate offering price of $100.0 million, subject to an effective shelf registration statement. For the three months ended March 31, 2026 and 2025, we received net proceeds of $5.1 million and $19.8 million, respectively, associated with shares issued under the DRIP/DSPP as well as shares issued under our ATM program.</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Agreements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Shelf Agreements with Prudential and MetLife with terms that extend through February 2026 and June 2030, respectively, however neither of such lenders have any obligation to purchase debt thereunder. In June 2025, we amended our Shelf Agreement with MetLife to expand the total borrowing capacity and extend the term of the agreement for an additional five years. At March 31, 2026, a total of $343.3 million of borrowing capacity was available under these Shelf Agreements.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outstanding Senior Notes set forth certain business covenants to which we are subject when any note is outstanding, including covenants that limit or restrict our ability, and the ability of our subsidiaries, to incur indebtedness, or place or permit liens and encumbrances on any of our property or the property of our subsidiaries.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we are authorized by our BOD to borrow up to $450.0 million of short-term debt, as required. At March 31, 2026 and December 31, 2025, we had $199.6 million and $158.0 million, respectively, of short-term borrowings outstanding at a weighted average interest rate of 4.66 percent and 4.73 percent, respectively. There were no borrowings outstanding under the sustainable investment sublimit of the 364-day tranche at March 31, 2026.</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2024, we amended and restated our revolving credit agreement, which increased the total borrowing capacity under the Revolver to $450.0 million, including $250.0 million available under the 364-day tranche and $200.0 million available under the five-year tranche which expires in August 2029. In August 2025, we exercised an option under the Revolver to extend the 364-day tranche through August 2026. All other terms and conditions of the agreement remain unchanged. We may also request increases under the Revolver of up to $50.0 million under the 364-day tranche and up to $100.0 million under the five-year tranche, with the lenders having sole discretion of whether to approve each requested increase. Borrowings under both tranches of the Revolver continue to be subject to a pricing grid, including the commitment fee and the interest rate charged based upon our total indebtedness to total capitalization ratio for the prior quarter. The 364-day tranche continues to bear interest (i) based upon the SOFR, plus a 10-basis point credit spread adjustment, and an applicable margin of 1.05 percent or less, with such margin based on total indebtedness as a percentage of total capitalization or (ii) the base rate, solely at our discretion. The five-year tranche continues to bear interest (i) based upon the SOFR, plus a 10-basis point credit spread adjustment, and an applicable margin of 1.25 percent or less, with such margin based on total indebtedness as a percentage of total capitalization or (ii) the base rate, solely at our discretion.</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also utilize interest rate swaps to manage rate risk under our Revolver. For additional information on interest rate swaps, including swaps currently in place related to our short-term borrowings, see Note 12,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availability of funds under the Revolver is subject to conditions specified in the credit agreement, all of which we currently satisfy. These conditions include our compliance with financial covenants and the continued accuracy of representations and warranties contained in the Revolver's loan documents. We are required by the financial covenants in the Revolver to maintain, at the end of each fiscal year, a funded indebtedness ratio of no greater than 65 percent. As of March 31, 2026, we were in compliance with this covenant.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total available credit under the Revolver at March 31, 2026 was $245.6 million. As of March 31, 2026, we had issued $4.8 million in letters of credit to various counterparties under the Revolver. These letters of credit are not included in the outstanding short-term borrowings and we do not anticipate that they will be drawn upon by the counterparties. The letters of credit reduce the available borrowings under the Revolver.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2025, we entered into a Note Purchase Agreement for the issuance of Senior Notes in the aggregate principal amount of $200.0 million with an initial funding of $150.0 million in August 2025 and an additional $50.0 million in September 2025. These Senior Notes have an average interest rate of 5.04 percent consisting of $60.0 million of 4.88 percent notes due in August 2028, $50.0 million of 5.02 percent notes due in September 2030, and $90.0 million of 5.16 percent notes due in August 2031. The proceeds received were used to reduce short-term borrowings under our Revolver and to fund capital expenditures. The outstanding principal balance of the Senior Notes will be due on their respective maturity dates with interest payments payable semiannually beginning in 2026 until the principal has been paid in full. These Senior Notes have similar covenants and default provisions as our other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operating, investing and financing cash flows for the three months ended March 31, 2026 and 2025:</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8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7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our cash flows from operating activities are attributable primarily to changes in net income, adjusted for non-cash items such as depreciation and amortization, changes in deferred income taxes, share-based compensation expense and working capital. Working capital requirements are determined by a variety of factors, including weather, the prices of natural gas, electricity and propane, the timing of customer collections, payments for purchases of natural gas, electricity and propane, and deferred fuel cost recoveries.</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operating activities was $118.0 million. Operating cash flows were primarily impacted by the following:</w:t>
      </w: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adjusted for non-cash adjustments, provided a $89.1 million source of cash;</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increased level of deferred taxes associated largely with incremental tax depreciation from growth investments resulted in a source of cash of $20.0 million; and</w:t>
      </w: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changes resulted in a $8.8 million source of cash.</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totaled $141.7 million during the three months ended March 31, 2026, primarily attributable to $141.9 million related to new capital expenditures.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totaled $26.6 million during the three months ended March 31, 2026 and was largely impacted by the following:</w:t>
      </w:r>
    </w:p>
    <w:p>
      <w:pPr>
        <w:spacing w:after="0" w:line="27"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borrowings under the Revolver of $42.0 million;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$16.2 million use of cash for dividend payments in 2026.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BOD has authorized us to issue corporate guarantees securing obligations of our subsidiaries and to obtain letters of credit securing our subsidiaries' obligations. The maximum authorized liability under such guarantees and letters of credit as of March 31, 2026 was $81.0 million. The aggregate amount guaranteed related to our subsidiaries at March 31, 2026 was $52.4 million, with the guarantees expiring on various dates through March 2027. In addition, the BOD authorized us to issue specific purpose corporate guarantees. The amount of specific purpose guarantees outstanding at March 31, 2026 was $4.0 million.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we have issued letters of credit totaling $4.8 million related to various transportation, transmission, capacity and storage agreements as well as our primary insurance carriers. These letters of credit have various expiration dates through October 2026 and to date, none have been used. We do not anticipate that the counterparties will draw upon these letters of credit and we expect that they will be renewed to the extent necessary in the future. Additional information is presented in Note 7</w:t>
      </w:r>
      <w:r>
        <w:rPr>
          <w:rFonts w:ascii="Times New Roman" w:cs="Times New Roman" w:eastAsia="Times New Roman" w:hAnsi="Times New Roman"/>
          <w:sz w:val="18"/>
          <w:szCs w:val="18"/>
          <w:i w:val="1"/>
          <w:iCs w:val="1"/>
          <w:color w:val="auto"/>
        </w:rPr>
        <w:t>, Other Commitments and Contingencies,</w:t>
      </w:r>
      <w:r>
        <w:rPr>
          <w:rFonts w:ascii="Times New Roman" w:cs="Times New Roman" w:eastAsia="Times New Roman" w:hAnsi="Times New Roman"/>
          <w:sz w:val="18"/>
          <w:szCs w:val="18"/>
          <w:color w:val="auto"/>
        </w:rPr>
        <w:t xml:space="preserve"> in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has been no material change in the contractual obligations presented in our 2025 Annual Report on Form 10-K.</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Rates and Regulatory Matters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natural gas distribution operations in Delaware, Maryland and Florida and electric distribution operation in Florida are subject to regulation by the respective state PSC; Eastern Shore is subject to regulation by the FERC; and Peninsula Pipeline and Aspire Energy Express, our intrastate pipeline subsidiaries, are subject to regulation (excluding cost of service) by the Florida PSC and Public Utilities Commission of Ohio, respectively. We regularly are involved in regulatory matters in each of the jurisdictions in which we operate. Our significant regulatory matters are fully described in Note 5</w:t>
      </w:r>
      <w:r>
        <w:rPr>
          <w:rFonts w:ascii="Times New Roman" w:cs="Times New Roman" w:eastAsia="Times New Roman" w:hAnsi="Times New Roman"/>
          <w:sz w:val="18"/>
          <w:szCs w:val="18"/>
          <w:i w:val="1"/>
          <w:iCs w:val="1"/>
          <w:color w:val="auto"/>
        </w:rPr>
        <w:t>, Rates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Regulatory Activities</w:t>
      </w:r>
      <w:r>
        <w:rPr>
          <w:rFonts w:ascii="Times New Roman" w:cs="Times New Roman" w:eastAsia="Times New Roman" w:hAnsi="Times New Roman"/>
          <w:sz w:val="18"/>
          <w:szCs w:val="18"/>
          <w:color w:val="auto"/>
        </w:rPr>
        <w:t>, to the condensed consolidated financial statements in this Quarterly Report on Form 10-Q.</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Authoritative Pronouncements on Financial Reporting and Accounting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Recent accounting developments, applicable to us, and their expected impact on our financial position, results of operations and cash flows, are described in Note 1</w:t>
      </w:r>
      <w:r>
        <w:rPr>
          <w:rFonts w:ascii="Times New Roman" w:cs="Times New Roman" w:eastAsia="Times New Roman" w:hAnsi="Times New Roman"/>
          <w:sz w:val="18"/>
          <w:szCs w:val="18"/>
          <w:i w:val="1"/>
          <w:iCs w:val="1"/>
          <w:color w:val="auto"/>
        </w:rPr>
        <w:t>, Summary of Accounting Policies</w:t>
      </w:r>
      <w:r>
        <w:rPr>
          <w:rFonts w:ascii="Times New Roman" w:cs="Times New Roman" w:eastAsia="Times New Roman" w:hAnsi="Times New Roman"/>
          <w:sz w:val="18"/>
          <w:szCs w:val="18"/>
          <w:color w:val="auto"/>
        </w:rPr>
        <w:t>, to the condensed consolidated financial statements in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NTEREST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Long-term debt is subject to potential losses based on changes in interest rates. We evaluate whether to refinance existing debt or permanently refinance existing short-term borrowings based in part on the fluctuation in interest rates. Increases in interest rates expose us to potential increased costs we could incur when we (i) issue new debt instruments or (ii) provide financing and liquidity for our business activities. We also utilize interest rate swap agreements to mitigate short-term borrowing rate risk. Additional information about our long-term debt and short-term borrowing is disclosed in Note 14, </w:t>
      </w:r>
      <w:r>
        <w:rPr>
          <w:rFonts w:ascii="Times New Roman" w:cs="Times New Roman" w:eastAsia="Times New Roman" w:hAnsi="Times New Roman"/>
          <w:sz w:val="18"/>
          <w:szCs w:val="18"/>
          <w:i w:val="1"/>
          <w:iCs w:val="1"/>
          <w:color w:val="auto"/>
        </w:rPr>
        <w:t>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and Note 15,</w:t>
      </w:r>
      <w:r>
        <w:rPr>
          <w:rFonts w:ascii="Times New Roman" w:cs="Times New Roman" w:eastAsia="Times New Roman" w:hAnsi="Times New Roman"/>
          <w:sz w:val="18"/>
          <w:szCs w:val="18"/>
          <w:i w:val="1"/>
          <w:iCs w:val="1"/>
          <w:color w:val="auto"/>
        </w:rPr>
        <w:t xml:space="preserve"> Short-Term Borrowings</w:t>
      </w:r>
      <w:r>
        <w:rPr>
          <w:rFonts w:ascii="Times New Roman" w:cs="Times New Roman" w:eastAsia="Times New Roman" w:hAnsi="Times New Roman"/>
          <w:sz w:val="18"/>
          <w:szCs w:val="18"/>
          <w:color w:val="auto"/>
        </w:rPr>
        <w:t>, respectively, in the condensed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OMMODITY</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RICE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Regulated Energy Segment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agreements with various wholesale suppliers to purchase natural gas and electricity for resale to our customers. Our regulated energy distribution businesses that sell natural gas or electricity to end-use customers have fuel cost recovery mechanisms authorized by the respective PSCs that allow us to recover all of the costs prudently incurred in purchasing natural gas and electricity for our customers. Therefore, our regulated energy distribution operations have limited commodity price risk exposure.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Unregulated Energy Segment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propane operations are exposed to commodity price risk as a result of the competitive nature of retail pricing offered to our customers. In order to mitigate this risk, we utilize propane storage activities and forward contracts for supply.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 store up to approximately 8.4 million gallons of propane (including leased storage and rail cars) during the winter season to meet our customers’ peak requirements and to serve metered customers. Decreases in the wholesale price of propane may cause the value of stored propane to decline, particularly if we utilize fixed price forward contracts for supply. To mitigate the risk of propane commodity price fluctuations on the inventory valuation, we have adopted a Risk Management Policy that allows our propane distribution operation to enter into fair value hedges, cash flow hedges or other economic hedges of our inventory.</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Aspire Energy is exposed to commodity price risk, primarily during the winter season, to the extent we are not successful in balancing our natural gas purchases and sales and have to secure natural gas from alternative sources at higher spot prices. In order to mitigate this risk, we procure firm capacity that meets our estimated volume requirements and we continue to seek out new producers in order to fulfill our natural gas purchase requirements.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changes in the fair market value of financial derivatives contracts related to propane purchases and sales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to March 31, 2026:</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in Fair Market</w:t>
            </w:r>
          </w:p>
        </w:tc>
        <w:tc>
          <w:tcPr>
            <w:tcW w:w="120" w:type="dxa"/>
            <w:vAlign w:val="bottom"/>
          </w:tcPr>
          <w:p>
            <w:pPr>
              <w:spacing w:after="0"/>
              <w:rPr>
                <w:sz w:val="17"/>
                <w:szCs w:val="17"/>
                <w:color w:val="auto"/>
              </w:rPr>
            </w:pPr>
          </w:p>
        </w:tc>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Less Amounts Settled</w:t>
            </w:r>
          </w:p>
        </w:tc>
        <w:tc>
          <w:tcPr>
            <w:tcW w:w="120" w:type="dxa"/>
            <w:vAlign w:val="bottom"/>
          </w:tcPr>
          <w:p>
            <w:pPr>
              <w:spacing w:after="0"/>
              <w:rPr>
                <w:sz w:val="17"/>
                <w:szCs w:val="17"/>
                <w:color w:val="auto"/>
              </w:rPr>
            </w:pPr>
          </w:p>
        </w:tc>
        <w:tc>
          <w:tcPr>
            <w:tcW w:w="15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Balance at March</w:t>
            </w:r>
          </w:p>
        </w:tc>
        <w:tc>
          <w:tcPr>
            <w:tcW w:w="0" w:type="dxa"/>
            <w:vAlign w:val="bottom"/>
          </w:tcPr>
          <w:p>
            <w:pPr>
              <w:spacing w:after="0"/>
              <w:rPr>
                <w:sz w:val="1"/>
                <w:szCs w:val="1"/>
                <w:color w:val="auto"/>
              </w:rPr>
            </w:pPr>
          </w:p>
        </w:tc>
      </w:tr>
      <w:tr>
        <w:trPr>
          <w:trHeight w:val="238"/>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20"/>
                <w:szCs w:val="20"/>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420" w:type="dxa"/>
            <w:vAlign w:val="bottom"/>
          </w:tcPr>
          <w:p>
            <w:pPr>
              <w:spacing w:after="0"/>
              <w:rPr>
                <w:sz w:val="20"/>
                <w:szCs w:val="20"/>
                <w:color w:val="auto"/>
              </w:rPr>
            </w:pP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9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31, 2026</w:t>
            </w:r>
          </w:p>
        </w:tc>
        <w:tc>
          <w:tcPr>
            <w:tcW w:w="0" w:type="dxa"/>
            <w:vAlign w:val="bottom"/>
          </w:tcPr>
          <w:p>
            <w:pPr>
              <w:spacing w:after="0"/>
              <w:rPr>
                <w:sz w:val="1"/>
                <w:szCs w:val="1"/>
                <w:color w:val="auto"/>
              </w:rPr>
            </w:pPr>
          </w:p>
        </w:tc>
      </w:tr>
      <w:tr>
        <w:trPr>
          <w:trHeight w:val="24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Sharp</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methods of valuations during the three months ended March 31, 2026.</w:t>
      </w:r>
    </w:p>
    <w:p>
      <w:pPr>
        <w:spacing w:after="0" w:line="2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is a summary of fair market value of financial derivatives as of March 31, 2026, by method of valuation and by maturity for each fiscal year period.</w:t>
      </w:r>
    </w:p>
    <w:tbl>
      <w:tblPr>
        <w:tblLayout w:type="fixed"/>
        <w:tblInd w:w="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90"/>
              <w:spacing w:after="0" w:line="185" w:lineRule="exact"/>
              <w:rPr>
                <w:sz w:val="20"/>
                <w:szCs w:val="20"/>
                <w:color w:val="auto"/>
              </w:rPr>
            </w:pPr>
            <w:r>
              <w:rPr>
                <w:rFonts w:ascii="Times New Roman" w:cs="Times New Roman" w:eastAsia="Times New Roman" w:hAnsi="Times New Roman"/>
                <w:sz w:val="18"/>
                <w:szCs w:val="18"/>
                <w:b w:val="1"/>
                <w:bCs w:val="1"/>
                <w:color w:val="auto"/>
                <w:w w:val="96"/>
              </w:rPr>
              <w:t>Total Fair</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based on Mont Belvieu - Sharp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HOLESALE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REDIT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p>
    <w:p>
      <w:pPr>
        <w:spacing w:after="0" w:line="25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Risk Management Committee reviews credit risks associated with counterparties to commodity derivative contracts prior to such contracts being approved.</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Additional information about our derivative instruments is disclosed in Note 12,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in the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NFLATION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Inflation affects the cost of supply, labor, products and services required for operations, maintenance and capital improvements. To help cope with the effects of inflation on our capital investments and returns, we periodically seek rate increases from regulatory commissions for our regulated operations and closely monitor the returns of our unregulated energy business operations. To compensate for fluctuations in propane gas prices, we adjust propane sales prices to the extent allowed by the market.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Chief Executive Officer and Chief Financial Officer of Chesapeake Utilities, with the participation of other Company officials, have evaluated our “disclosure controls and procedures” (as such term is defined under Rules 13a-15(e) and 15d-15(e), promulgated under the Securities Exchange Act of 1934, as amended) as of March 31, 2026. Based upon their evaluation, the Chief Executive Officer and Chief Financial Officer concluded that our disclosure controls and procedures were effective as of 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there has been no change in the design or operations of our internal controls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0" w:lineRule="exact"/>
        <w:rPr>
          <w:sz w:val="20"/>
          <w:szCs w:val="20"/>
          <w:color w:val="auto"/>
        </w:rPr>
      </w:pPr>
    </w:p>
    <w:p>
      <w:pPr>
        <w:spacing w:after="0" w:line="23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 disclosed in Note 7</w:t>
      </w:r>
      <w:r>
        <w:rPr>
          <w:rFonts w:ascii="Times New Roman" w:cs="Times New Roman" w:eastAsia="Times New Roman" w:hAnsi="Times New Roman"/>
          <w:sz w:val="18"/>
          <w:szCs w:val="18"/>
          <w:i w:val="1"/>
          <w:iCs w:val="1"/>
          <w:color w:val="auto"/>
        </w:rPr>
        <w:t>, Other Commitments and Contingencies</w:t>
      </w:r>
      <w:r>
        <w:rPr>
          <w:rFonts w:ascii="Times New Roman" w:cs="Times New Roman" w:eastAsia="Times New Roman" w:hAnsi="Times New Roman"/>
          <w:sz w:val="18"/>
          <w:szCs w:val="18"/>
          <w:color w:val="auto"/>
        </w:rPr>
        <w:t>, of the condensed consolidated financial statements in this Quarterly Report on Form 10-Q, we are involved in certain legal actions and claims arising in the normal course of business. We are also involved in certain legal and administrative proceedings before various governmental or regulatory agencies concerning rates and other regulatory actions. In the opinion of management, the ultimate</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disposition of these proceedings and claims will not have a material effect on our consolidated results of operations, financial position or cash flows.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Our business, operations, and financial condition are subject to various risks and uncertainties. The risk factors described in Part I, Item 1A., Risk Factors, in our Annual Report on Form 10-K, for the year ended December 31, 2025, should be carefully considered, together with the other information contained or incorporated by reference in this Quarterly Report on Form 10-Q and in our other filings with the SEC in connection with evaluating Chesapeake Utilities, our business and the forward-looking statements contained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repurchases during the three months ended March 31, 2026 were as follows: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auto"/>
        </w:rPr>
        <w:t>Period</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January 1, 2026</w:t>
      </w:r>
    </w:p>
    <w:p>
      <w:pPr>
        <w:ind w:left="680"/>
        <w:spacing w:after="0" w:line="230" w:lineRule="auto"/>
        <w:rPr>
          <w:sz w:val="20"/>
          <w:szCs w:val="20"/>
          <w:color w:val="auto"/>
        </w:rPr>
      </w:pPr>
      <w:r>
        <w:rPr>
          <w:rFonts w:ascii="Times New Roman" w:cs="Times New Roman" w:eastAsia="Times New Roman" w:hAnsi="Times New Roman"/>
          <w:sz w:val="17"/>
          <w:szCs w:val="17"/>
          <w:color w:val="auto"/>
        </w:rPr>
        <w:t xml:space="preserve">through January 31, 2026 </w:t>
      </w:r>
      <w:r>
        <w:rPr>
          <w:rFonts w:ascii="Times New Roman" w:cs="Times New Roman" w:eastAsia="Times New Roman" w:hAnsi="Times New Roman"/>
          <w:sz w:val="22"/>
          <w:szCs w:val="22"/>
          <w:color w:val="auto"/>
          <w:vertAlign w:val="superscript"/>
        </w:rPr>
        <w:t>(1)</w:t>
      </w:r>
    </w:p>
    <w:p>
      <w:pPr>
        <w:ind w:left="680"/>
        <w:spacing w:after="0" w:line="204" w:lineRule="auto"/>
        <w:rPr>
          <w:sz w:val="20"/>
          <w:szCs w:val="20"/>
          <w:color w:val="auto"/>
        </w:rPr>
      </w:pPr>
      <w:r>
        <w:rPr>
          <w:rFonts w:ascii="Times New Roman" w:cs="Times New Roman" w:eastAsia="Times New Roman" w:hAnsi="Times New Roman"/>
          <w:sz w:val="18"/>
          <w:szCs w:val="18"/>
          <w:color w:val="auto"/>
        </w:rPr>
        <w:t>February 1, 2026</w:t>
      </w:r>
    </w:p>
    <w:p>
      <w:pPr>
        <w:ind w:left="680"/>
        <w:spacing w:after="0"/>
        <w:rPr>
          <w:sz w:val="20"/>
          <w:szCs w:val="20"/>
          <w:color w:val="auto"/>
        </w:rPr>
      </w:pPr>
      <w:r>
        <w:rPr>
          <w:rFonts w:ascii="Times New Roman" w:cs="Times New Roman" w:eastAsia="Times New Roman" w:hAnsi="Times New Roman"/>
          <w:sz w:val="18"/>
          <w:szCs w:val="18"/>
          <w:color w:val="auto"/>
        </w:rPr>
        <w:t>through February 28, 2026</w:t>
      </w:r>
    </w:p>
    <w:p>
      <w:pPr>
        <w:spacing w:after="0" w:line="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March 1, 2026</w:t>
      </w:r>
    </w:p>
    <w:p>
      <w:pPr>
        <w:ind w:left="680"/>
        <w:spacing w:after="0"/>
        <w:rPr>
          <w:sz w:val="20"/>
          <w:szCs w:val="20"/>
          <w:color w:val="auto"/>
        </w:rPr>
      </w:pPr>
      <w:r>
        <w:rPr>
          <w:rFonts w:ascii="Times New Roman" w:cs="Times New Roman" w:eastAsia="Times New Roman" w:hAnsi="Times New Roman"/>
          <w:sz w:val="18"/>
          <w:szCs w:val="18"/>
          <w:color w:val="auto"/>
        </w:rPr>
        <w:t>through March 31, 2026</w:t>
      </w:r>
    </w:p>
    <w:p>
      <w:pPr>
        <w:spacing w:after="0" w:line="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6"/>
        </w:trPr>
        <w:tc>
          <w:tcPr>
            <w:tcW w:w="10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1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52"/>
        </w:trPr>
        <w:tc>
          <w:tcPr>
            <w:tcW w:w="1020" w:type="dxa"/>
            <w:vAlign w:val="bottom"/>
            <w:gridSpan w:val="2"/>
          </w:tcPr>
          <w:p>
            <w:pPr>
              <w:jc w:val="center"/>
              <w:ind w:right="100"/>
              <w:spacing w:after="0" w:line="15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Pr>
          <w:p>
            <w:pPr>
              <w:spacing w:after="0"/>
              <w:rPr>
                <w:sz w:val="13"/>
                <w:szCs w:val="13"/>
                <w:color w:val="auto"/>
              </w:rPr>
            </w:pPr>
          </w:p>
        </w:tc>
        <w:tc>
          <w:tcPr>
            <w:tcW w:w="1100" w:type="dxa"/>
            <w:vAlign w:val="bottom"/>
            <w:gridSpan w:val="2"/>
          </w:tcPr>
          <w:p>
            <w:pPr>
              <w:jc w:val="center"/>
              <w:ind w:right="300"/>
              <w:spacing w:after="0" w:line="152"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120" w:type="dxa"/>
            <w:vAlign w:val="bottom"/>
            <w:gridSpan w:val="2"/>
          </w:tcPr>
          <w:p>
            <w:pPr>
              <w:jc w:val="center"/>
              <w:ind w:right="120"/>
              <w:spacing w:after="0" w:line="152"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21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253"/>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22"/>
                <w:szCs w:val="22"/>
                <w:color w:val="auto"/>
              </w:rPr>
            </w:pPr>
          </w:p>
        </w:tc>
        <w:tc>
          <w:tcPr>
            <w:tcW w:w="2020" w:type="dxa"/>
            <w:vAlign w:val="bottom"/>
            <w:tcBorders>
              <w:bottom w:val="single" w:sz="8" w:color="auto"/>
            </w:tcBorders>
          </w:tcPr>
          <w:p>
            <w:pPr>
              <w:jc w:val="center"/>
              <w:spacing w:after="0" w:line="253" w:lineRule="exact"/>
              <w:rPr>
                <w:sz w:val="20"/>
                <w:szCs w:val="20"/>
                <w:color w:val="auto"/>
              </w:rPr>
            </w:pPr>
            <w:r>
              <w:rPr>
                <w:rFonts w:ascii="Times New Roman" w:cs="Times New Roman" w:eastAsia="Times New Roman" w:hAnsi="Times New Roman"/>
                <w:sz w:val="14"/>
                <w:szCs w:val="14"/>
                <w:b w:val="1"/>
                <w:bCs w:val="1"/>
                <w:color w:val="auto"/>
                <w:w w:val="96"/>
              </w:rPr>
              <w:t xml:space="preserve">or Programs </w:t>
            </w:r>
            <w:r>
              <w:rPr>
                <w:rFonts w:ascii="Times New Roman" w:cs="Times New Roman" w:eastAsia="Times New Roman" w:hAnsi="Times New Roman"/>
                <w:sz w:val="23"/>
                <w:szCs w:val="23"/>
                <w:b w:val="1"/>
                <w:bCs w:val="1"/>
                <w:color w:val="auto"/>
                <w:w w:val="96"/>
                <w:vertAlign w:val="superscript"/>
              </w:rPr>
              <w:t>(2)</w:t>
            </w:r>
          </w:p>
        </w:tc>
        <w:tc>
          <w:tcPr>
            <w:tcW w:w="100" w:type="dxa"/>
            <w:vAlign w:val="bottom"/>
          </w:tcPr>
          <w:p>
            <w:pPr>
              <w:spacing w:after="0"/>
              <w:rPr>
                <w:sz w:val="22"/>
                <w:szCs w:val="22"/>
                <w:color w:val="auto"/>
              </w:rPr>
            </w:pPr>
          </w:p>
        </w:tc>
        <w:tc>
          <w:tcPr>
            <w:tcW w:w="2100" w:type="dxa"/>
            <w:vAlign w:val="bottom"/>
            <w:tcBorders>
              <w:bottom w:val="single" w:sz="8" w:color="auto"/>
            </w:tcBorders>
          </w:tcPr>
          <w:p>
            <w:pPr>
              <w:jc w:val="center"/>
              <w:spacing w:after="0" w:line="253" w:lineRule="exact"/>
              <w:rPr>
                <w:sz w:val="20"/>
                <w:szCs w:val="20"/>
                <w:color w:val="auto"/>
              </w:rPr>
            </w:pPr>
            <w:r>
              <w:rPr>
                <w:rFonts w:ascii="Times New Roman" w:cs="Times New Roman" w:eastAsia="Times New Roman" w:hAnsi="Times New Roman"/>
                <w:sz w:val="14"/>
                <w:szCs w:val="14"/>
                <w:b w:val="1"/>
                <w:bCs w:val="1"/>
                <w:color w:val="auto"/>
                <w:w w:val="96"/>
              </w:rPr>
              <w:t xml:space="preserve">or Programs </w:t>
            </w:r>
            <w:r>
              <w:rPr>
                <w:rFonts w:ascii="Times New Roman" w:cs="Times New Roman" w:eastAsia="Times New Roman" w:hAnsi="Times New Roman"/>
                <w:sz w:val="23"/>
                <w:szCs w:val="23"/>
                <w:b w:val="1"/>
                <w:bCs w:val="1"/>
                <w:color w:val="auto"/>
                <w:w w:val="96"/>
                <w:vertAlign w:val="superscript"/>
              </w:rPr>
              <w:t>(2)</w:t>
            </w:r>
          </w:p>
        </w:tc>
        <w:tc>
          <w:tcPr>
            <w:tcW w:w="0" w:type="dxa"/>
            <w:vAlign w:val="bottom"/>
          </w:tcPr>
          <w:p>
            <w:pPr>
              <w:spacing w:after="0"/>
              <w:rPr>
                <w:sz w:val="1"/>
                <w:szCs w:val="1"/>
                <w:color w:val="auto"/>
              </w:rPr>
            </w:pPr>
          </w:p>
        </w:tc>
      </w:tr>
      <w:tr>
        <w:trPr>
          <w:trHeight w:val="399"/>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122.34</w:t>
            </w:r>
          </w:p>
        </w:tc>
        <w:tc>
          <w:tcPr>
            <w:tcW w:w="120" w:type="dxa"/>
            <w:vAlign w:val="bottom"/>
          </w:tcPr>
          <w:p>
            <w:pPr>
              <w:spacing w:after="0"/>
              <w:rPr>
                <w:sz w:val="24"/>
                <w:szCs w:val="24"/>
                <w:color w:val="auto"/>
              </w:rPr>
            </w:pPr>
          </w:p>
        </w:tc>
        <w:tc>
          <w:tcPr>
            <w:tcW w:w="212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12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w:t>
            </w:r>
          </w:p>
        </w:tc>
        <w:tc>
          <w:tcPr>
            <w:tcW w:w="210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12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w:t>
            </w:r>
          </w:p>
        </w:tc>
        <w:tc>
          <w:tcPr>
            <w:tcW w:w="210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122.34</w:t>
            </w:r>
          </w:p>
        </w:tc>
        <w:tc>
          <w:tcPr>
            <w:tcW w:w="120" w:type="dxa"/>
            <w:vAlign w:val="bottom"/>
          </w:tcPr>
          <w:p>
            <w:pPr>
              <w:spacing w:after="0"/>
              <w:rPr>
                <w:sz w:val="19"/>
                <w:szCs w:val="19"/>
                <w:color w:val="auto"/>
              </w:rPr>
            </w:pPr>
          </w:p>
        </w:tc>
        <w:tc>
          <w:tcPr>
            <w:tcW w:w="2020" w:type="dxa"/>
            <w:vAlign w:val="bottom"/>
            <w:tcBorders>
              <w:top w:val="single" w:sz="8" w:color="auto"/>
              <w:bottom w:val="single" w:sz="8" w:color="auto"/>
            </w:tcBorders>
          </w:tcPr>
          <w:p>
            <w:pPr>
              <w:ind w:left="17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100" w:type="dxa"/>
            <w:vAlign w:val="bottom"/>
            <w:tcBorders>
              <w:top w:val="single" w:sz="8" w:color="auto"/>
              <w:bottom w:val="single" w:sz="8" w:color="auto"/>
            </w:tcBorders>
          </w:tcPr>
          <w:p>
            <w:pPr>
              <w:ind w:left="18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-2135505</wp:posOffset>
            </wp:positionH>
            <wp:positionV relativeFrom="paragraph">
              <wp:posOffset>-985520</wp:posOffset>
            </wp:positionV>
            <wp:extent cx="6275070" cy="265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75070" cy="265430"/>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-453390</wp:posOffset>
            </wp:positionV>
            <wp:extent cx="6275070" cy="265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7507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00" w:space="720"/>
            <w:col w:w="7220"/>
          </w:cols>
          <w:pgMar w:left="320" w:top="124" w:right="339" w:bottom="1440" w:gutter="0" w:footer="0" w:header="0"/>
          <w:type w:val="continuous"/>
        </w:sectPr>
      </w:pPr>
    </w:p>
    <w:p>
      <w:pPr>
        <w:spacing w:after="0" w:line="61" w:lineRule="exact"/>
        <w:rPr>
          <w:sz w:val="20"/>
          <w:szCs w:val="20"/>
          <w:color w:val="auto"/>
        </w:rPr>
      </w:pPr>
    </w:p>
    <w:p>
      <w:pPr>
        <w:jc w:val="both"/>
        <w:ind w:left="660" w:hanging="4"/>
        <w:spacing w:after="0" w:line="220" w:lineRule="auto"/>
        <w:tabs>
          <w:tab w:leader="none" w:pos="847"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Chesapeake Utilities purchased shares of common stock on the open market for the purpose of reinvesting the dividend on shares held in the Rabbi Trust accounts for certain directors and senior executives under the Non-Qualified Deferred Compensation Plan. The Non-Qualified Deferred Compensation Plan is discussed in detail in Item 8 under the heading “Notes to the Consolidated Financial Statements—Note 15</w:t>
      </w:r>
      <w:r>
        <w:rPr>
          <w:rFonts w:ascii="Times New Roman" w:cs="Times New Roman" w:eastAsia="Times New Roman" w:hAnsi="Times New Roman"/>
          <w:sz w:val="14"/>
          <w:szCs w:val="14"/>
          <w:i w:val="1"/>
          <w:iCs w:val="1"/>
          <w:color w:val="auto"/>
        </w:rPr>
        <w:t>, Employee Benefit Plans,</w:t>
      </w:r>
      <w:r>
        <w:rPr>
          <w:rFonts w:ascii="Times New Roman" w:cs="Times New Roman" w:eastAsia="Times New Roman" w:hAnsi="Times New Roman"/>
          <w:sz w:val="14"/>
          <w:szCs w:val="14"/>
          <w:color w:val="auto"/>
        </w:rPr>
        <w:t>” in our latest Annual Report on Form 10-K for the year ended December 31, 2025.</w:t>
      </w:r>
    </w:p>
    <w:p>
      <w:pPr>
        <w:spacing w:after="0" w:line="1" w:lineRule="exact"/>
        <w:rPr>
          <w:rFonts w:ascii="Times New Roman" w:cs="Times New Roman" w:eastAsia="Times New Roman" w:hAnsi="Times New Roman"/>
          <w:sz w:val="23"/>
          <w:szCs w:val="23"/>
          <w:color w:val="auto"/>
          <w:vertAlign w:val="superscript"/>
        </w:rPr>
      </w:pPr>
    </w:p>
    <w:p>
      <w:pPr>
        <w:ind w:left="820" w:hanging="164"/>
        <w:spacing w:after="0" w:line="214" w:lineRule="auto"/>
        <w:tabs>
          <w:tab w:leader="none" w:pos="82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Chesapeake Utilities has no publicly announced plans or programs to repurchase its shares.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860" w:type="dxa"/>
            <w:vAlign w:val="bottom"/>
          </w:tcPr>
          <w:p>
            <w:pPr>
              <w:spacing w:after="0"/>
              <w:rPr>
                <w:sz w:val="17"/>
                <w:szCs w:val="17"/>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Certificate of Chief Executive Officer of Chesapeake Utilities Corporation pursuant to Rule 13a-14(a) under the Securities Exchange</w:t>
            </w:r>
          </w:p>
        </w:tc>
      </w:tr>
      <w:tr>
        <w:trPr>
          <w:trHeight w:val="169"/>
        </w:trPr>
        <w:tc>
          <w:tcPr>
            <w:tcW w:w="4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1934.</w:t>
            </w:r>
          </w:p>
        </w:tc>
        <w:tc>
          <w:tcPr>
            <w:tcW w:w="866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r>
      <w:tr>
        <w:trPr>
          <w:trHeight w:val="479"/>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86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Certificate of Chief Financial Officer of Chesapeake Utilities Corporation pursuant to Rule 13a-14(a) under the Securities Exchange</w:t>
            </w:r>
          </w:p>
        </w:tc>
      </w:tr>
      <w:tr>
        <w:trPr>
          <w:trHeight w:val="169"/>
        </w:trPr>
        <w:tc>
          <w:tcPr>
            <w:tcW w:w="4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Act of 1934.</w:t>
            </w:r>
          </w:p>
        </w:tc>
        <w:tc>
          <w:tcPr>
            <w:tcW w:w="8600" w:type="dxa"/>
            <w:vAlign w:val="bottom"/>
            <w:tcBorders>
              <w:top w:val="single" w:sz="8" w:color="0000FF"/>
            </w:tcBorders>
            <w:gridSpan w:val="2"/>
          </w:tcPr>
          <w:p>
            <w:pPr>
              <w:spacing w:after="0"/>
              <w:rPr>
                <w:sz w:val="14"/>
                <w:szCs w:val="14"/>
                <w:color w:val="auto"/>
              </w:rPr>
            </w:pPr>
          </w:p>
        </w:tc>
        <w:tc>
          <w:tcPr>
            <w:tcW w:w="80" w:type="dxa"/>
            <w:vAlign w:val="bottom"/>
            <w:gridSpan w:val="2"/>
          </w:tcPr>
          <w:p>
            <w:pPr>
              <w:spacing w:after="0"/>
              <w:rPr>
                <w:sz w:val="14"/>
                <w:szCs w:val="14"/>
                <w:color w:val="auto"/>
              </w:rPr>
            </w:pPr>
          </w:p>
        </w:tc>
      </w:tr>
      <w:tr>
        <w:trPr>
          <w:trHeight w:val="479"/>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32.</w:t>
            </w:r>
            <w:r>
              <w:rPr>
                <w:rFonts w:ascii="Times New Roman" w:cs="Times New Roman" w:eastAsia="Times New Roman" w:hAnsi="Times New Roman"/>
                <w:sz w:val="18"/>
                <w:szCs w:val="18"/>
                <w:u w:val="single" w:color="auto"/>
                <w:color w:val="0000FF"/>
                <w:w w:val="96"/>
              </w:rPr>
              <w:t>1**</w:t>
            </w:r>
          </w:p>
        </w:tc>
        <w:tc>
          <w:tcPr>
            <w:tcW w:w="86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Certificate of Chief Executive Officer of Chesapeake Utilities Corporation pursuant to 18 U.S.C. Section 1350.</w:t>
            </w: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940" w:type="dxa"/>
            <w:vAlign w:val="bottom"/>
            <w:gridSpan w:val="2"/>
            <w:shd w:val="clear" w:color="auto" w:fill="0000FF"/>
          </w:tcPr>
          <w:p>
            <w:pPr>
              <w:spacing w:after="0" w:line="20" w:lineRule="exact"/>
              <w:rPr>
                <w:sz w:val="1"/>
                <w:szCs w:val="1"/>
                <w:color w:val="auto"/>
              </w:rPr>
            </w:pPr>
          </w:p>
        </w:tc>
        <w:tc>
          <w:tcPr>
            <w:tcW w:w="1640" w:type="dxa"/>
            <w:vAlign w:val="bottom"/>
            <w:tcBorders>
              <w:left w:val="single" w:sz="8" w:color="0000FF"/>
            </w:tcBorders>
            <w:gridSpan w:val="3"/>
          </w:tcPr>
          <w:p>
            <w:pPr>
              <w:spacing w:after="0" w:line="20" w:lineRule="exact"/>
              <w:rPr>
                <w:sz w:val="1"/>
                <w:szCs w:val="1"/>
                <w:color w:val="auto"/>
              </w:rPr>
            </w:pPr>
          </w:p>
        </w:tc>
      </w:tr>
      <w:tr>
        <w:trPr>
          <w:trHeight w:val="479"/>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32.</w:t>
            </w:r>
            <w:r>
              <w:rPr>
                <w:rFonts w:ascii="Times New Roman" w:cs="Times New Roman" w:eastAsia="Times New Roman" w:hAnsi="Times New Roman"/>
                <w:sz w:val="18"/>
                <w:szCs w:val="18"/>
                <w:u w:val="single" w:color="auto"/>
                <w:color w:val="0000FF"/>
                <w:w w:val="96"/>
              </w:rPr>
              <w:t>2**</w:t>
            </w:r>
          </w:p>
        </w:tc>
        <w:tc>
          <w:tcPr>
            <w:tcW w:w="86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Certificate of Chief Financial Officer of Chesapeake Utilities Corporation pursuant to 18 U.S.C. Section 1350.</w:t>
            </w: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940" w:type="dxa"/>
            <w:vAlign w:val="bottom"/>
            <w:gridSpan w:val="2"/>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r>
      <w:tr>
        <w:trPr>
          <w:trHeight w:val="520"/>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99"/>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00"/>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99"/>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99"/>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500"/>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52" w:lineRule="exact"/>
        <w:rPr>
          <w:sz w:val="20"/>
          <w:szCs w:val="20"/>
          <w:color w:val="auto"/>
        </w:rPr>
      </w:pPr>
    </w:p>
    <w:p>
      <w:pPr>
        <w:ind w:left="1380" w:hanging="1354"/>
        <w:spacing w:after="0"/>
        <w:tabs>
          <w:tab w:leader="none" w:pos="13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formatted in Inline XBRL and contained in Exhibit 101</w:t>
      </w:r>
    </w:p>
    <w:p>
      <w:pPr>
        <w:spacing w:after="0" w:line="34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4" w:right="6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7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HESAPEAKE</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4"/>
          <w:szCs w:val="14"/>
          <w:color w:val="auto"/>
        </w:rPr>
        <w:t>TILITIES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B</w:t>
      </w:r>
      <w:r>
        <w:rPr>
          <w:rFonts w:ascii="Times New Roman" w:cs="Times New Roman" w:eastAsia="Times New Roman" w:hAnsi="Times New Roman"/>
          <w:sz w:val="14"/>
          <w:szCs w:val="14"/>
          <w:color w:val="auto"/>
        </w:rPr>
        <w:t>ETH</w:t>
      </w:r>
      <w:r>
        <w:rPr>
          <w:rFonts w:ascii="Times New Roman" w:cs="Times New Roman" w:eastAsia="Times New Roman" w:hAnsi="Times New Roman"/>
          <w:sz w:val="18"/>
          <w:szCs w:val="18"/>
          <w:color w:val="auto"/>
        </w:rPr>
        <w:t xml:space="preserve"> W. C</w:t>
      </w:r>
      <w:r>
        <w:rPr>
          <w:rFonts w:ascii="Times New Roman" w:cs="Times New Roman" w:eastAsia="Times New Roman" w:hAnsi="Times New Roman"/>
          <w:sz w:val="14"/>
          <w:szCs w:val="14"/>
          <w:color w:val="auto"/>
        </w:rPr>
        <w:t>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111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Beth W. Cooper</w:t>
      </w: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280"/>
          </w:cols>
          <w:pgMar w:left="320" w:top="124" w:right="129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PURSUANT TO RULE 13A-14(A)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Jeffry M. Householder, certify that:</w:t>
      </w:r>
    </w:p>
    <w:p>
      <w:pPr>
        <w:spacing w:after="0" w:line="171"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Chesapeake Utilities Corporation;</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EFFRY</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4"/>
          <w:szCs w:val="14"/>
          <w:color w:val="auto"/>
        </w:rPr>
        <w:t>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26035</wp:posOffset>
            </wp:positionV>
            <wp:extent cx="34715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Jeffry M. Householder</w:t>
      </w:r>
    </w:p>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049"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CERTIFICATE PURSUANT TO RULE 13A-14(A)</w:t>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Beth W. Cooper, certify that:</w:t>
      </w:r>
    </w:p>
    <w:p>
      <w:pPr>
        <w:spacing w:after="0" w:line="171"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Chesapeake Utilities Corporation;</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B</w:t>
      </w:r>
      <w:r>
        <w:rPr>
          <w:rFonts w:ascii="Times New Roman" w:cs="Times New Roman" w:eastAsia="Times New Roman" w:hAnsi="Times New Roman"/>
          <w:sz w:val="14"/>
          <w:szCs w:val="14"/>
          <w:color w:val="auto"/>
        </w:rPr>
        <w:t>ETH</w:t>
      </w:r>
      <w:r>
        <w:rPr>
          <w:rFonts w:ascii="Times New Roman" w:cs="Times New Roman" w:eastAsia="Times New Roman" w:hAnsi="Times New Roman"/>
          <w:sz w:val="18"/>
          <w:szCs w:val="18"/>
          <w:color w:val="auto"/>
        </w:rPr>
        <w:t xml:space="preserve"> W. C</w:t>
      </w:r>
      <w:r>
        <w:rPr>
          <w:rFonts w:ascii="Times New Roman" w:cs="Times New Roman" w:eastAsia="Times New Roman" w:hAnsi="Times New Roman"/>
          <w:sz w:val="14"/>
          <w:szCs w:val="14"/>
          <w:color w:val="auto"/>
        </w:rPr>
        <w:t>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0518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Beth W. Cooper</w:t>
      </w: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1049"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Chief Executive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Chesapeake Utilities Corporation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 Jeffry M. Householder, President and Chief Executive Officer of Chesapeake Utilities Corporation, certify that, to the best of my knowledge, the Quarterly Report on Form 10-Q of Chesapeake Utilities Corporation (“Chesapeake”) for the period ended March 31, 2026, filed with the Securities and Exchange Commission on the date hereof (i) fully complies with the requirements of section 13(a) or 15(d) of the Securities Exchange Act of 1934, as amended, and (ii) the information contained therein fairly presents, in all material respects, the financial condition and results of operations of Chesapeake.</w:t>
      </w:r>
    </w:p>
    <w:p>
      <w:pPr>
        <w:spacing w:after="0" w:line="200" w:lineRule="exact"/>
        <w:rPr>
          <w:sz w:val="20"/>
          <w:szCs w:val="20"/>
          <w:color w:val="auto"/>
        </w:rPr>
      </w:pPr>
    </w:p>
    <w:p>
      <w:pPr>
        <w:spacing w:after="0" w:line="20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EFFRY</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4"/>
          <w:szCs w:val="14"/>
          <w:color w:val="auto"/>
        </w:rPr>
        <w:t>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34715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Jeffry M. Householder</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May 6, 2026</w:t>
      </w: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or other document authenticating, acknowledging, or otherwise adopting the signature that appears in typed form within the electronic version of this written statement required by Section 906, has been provided to Chesapeake Utilities Corporation and will be retained by Chesapeake Utilities Corporation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Chief Financial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Chesapeake Utilities Corporation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 Beth W. Cooper, Executive Vice President and Chief Financial Officer of Chesapeake Utilities Corporation, certify that, to the best of my knowledge, the Quarterly Report on Form 10-Q of Chesapeake Utilities Corporation (“Chesapeake”) for the period ended March 31, 2026, filed with the Securities and Exchange Commission on the date hereof (i) fully complies with the requirements of section 13(a) or 15(d) of the Securities Exchange Act of 1934, as amended, and (ii) the information contained therein fairly presents, in all material respects, the financial condition and results of operations of Chesapeake.</w:t>
      </w:r>
    </w:p>
    <w:p>
      <w:pPr>
        <w:spacing w:after="0" w:line="29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B</w:t>
      </w:r>
      <w:r>
        <w:rPr>
          <w:rFonts w:ascii="Times New Roman" w:cs="Times New Roman" w:eastAsia="Times New Roman" w:hAnsi="Times New Roman"/>
          <w:sz w:val="14"/>
          <w:szCs w:val="14"/>
          <w:color w:val="auto"/>
        </w:rPr>
        <w:t>ETH</w:t>
      </w:r>
      <w:r>
        <w:rPr>
          <w:rFonts w:ascii="Times New Roman" w:cs="Times New Roman" w:eastAsia="Times New Roman" w:hAnsi="Times New Roman"/>
          <w:sz w:val="18"/>
          <w:szCs w:val="18"/>
          <w:color w:val="auto"/>
        </w:rPr>
        <w:t xml:space="preserve"> W. C</w:t>
      </w:r>
      <w:r>
        <w:rPr>
          <w:rFonts w:ascii="Times New Roman" w:cs="Times New Roman" w:eastAsia="Times New Roman" w:hAnsi="Times New Roman"/>
          <w:sz w:val="14"/>
          <w:szCs w:val="14"/>
          <w:color w:val="auto"/>
        </w:rPr>
        <w:t>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34715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Beth W. Cooper</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May 6, 2026</w:t>
      </w:r>
    </w:p>
    <w:p>
      <w:pPr>
        <w:spacing w:after="0" w:line="200" w:lineRule="exact"/>
        <w:rPr>
          <w:sz w:val="20"/>
          <w:szCs w:val="20"/>
          <w:color w:val="auto"/>
        </w:rPr>
      </w:pPr>
    </w:p>
    <w:p>
      <w:pPr>
        <w:spacing w:after="0" w:line="3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or other document authenticating, acknowledging, or otherwise adopting the signature that appears in typed form within the electronic version of this written statement required by Section 906, has been provided to Chesapeake Utilities Corporation and will be retained by Chesapeake Utilities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5"/>
    </w:lvl>
  </w:abstractNum>
  <w:abstractNum w:abstractNumId="8">
    <w:nsid w:val="75A2A8D4"/>
    <w:multiLevelType w:val="hybridMultilevel"/>
    <w:lvl w:ilvl="0">
      <w:lvlJc w:val="left"/>
      <w:lvlText w:val="(%1)"/>
      <w:numFmt w:val="lowerRoman"/>
      <w:start w:val="3"/>
    </w:lvl>
  </w:abstractNum>
  <w:abstractNum w:abstractNumId="9">
    <w:nsid w:val="8EDBDAB"/>
    <w:multiLevelType w:val="hybridMultilevel"/>
    <w:lvl w:ilvl="0">
      <w:lvlJc w:val="left"/>
      <w:lvlText w:val="%1."/>
      <w:numFmt w:val="decimal"/>
      <w:start w:val="7"/>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9"/>
    </w:lvl>
  </w:abstractNum>
  <w:abstractNum w:abstractNumId="13">
    <w:nsid w:val="189A769B"/>
    <w:multiLevelType w:val="hybridMultilevel"/>
    <w:lvl w:ilvl="0">
      <w:lvlJc w:val="left"/>
      <w:lvlText w:val="%1."/>
      <w:numFmt w:val="decimal"/>
      <w:start w:val="1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lvl w:ilvl="1">
      <w:lvlJc w:val="left"/>
      <w:lvlText w:val="◦"/>
      <w:numFmt w:val="bullet"/>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lowerRoman"/>
      <w:start w:val="3"/>
    </w:lvl>
  </w:abstractNum>
  <w:abstractNum w:abstractNumId="25">
    <w:nsid w:val="22221A70"/>
    <w:multiLevelType w:val="hybridMultilevel"/>
    <w:lvl w:ilvl="0">
      <w:lvlJc w:val="left"/>
      <w:lvlText w:val="(%1)"/>
      <w:numFmt w:val="lowerRoman"/>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
      <w:numFmt w:val="bullet"/>
      <w:start w:val="1"/>
    </w:lvl>
    <w:lvl w:ilvl="1">
      <w:lvlJc w:val="left"/>
      <w:lvlText w:val="%2"/>
      <w:numFmt w:val="decimal"/>
      <w:start w:val="104"/>
    </w:lvl>
  </w:abstractNum>
  <w:abstractNum w:abstractNumId="36">
    <w:nsid w:val="5C482A97"/>
    <w:multiLevelType w:val="hybridMultilevel"/>
    <w:lvl w:ilvl="0">
      <w:lvlJc w:val="left"/>
      <w:lvlText w:val="**"/>
      <w:numFmt w:val="bullet"/>
      <w:start w:val="1"/>
    </w:lvl>
    <w:lvl w:ilvl="1">
      <w:lvlJc w:val="left"/>
      <w:lvlText w:val="%2"/>
      <w:numFmt w:val="decimal"/>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2026-05-06T15:58:14Z</dcterms:created>
  <dcterms:modified xsi:type="dcterms:W3CDTF">2026-05-06T15:58:14Z</dcterms:modified>
</cp:coreProperties>
</file>