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3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9"/>
          <w:szCs w:val="19"/>
          <w:i w:val="1"/>
          <w:iCs w:val="1"/>
          <w:color w:val="auto"/>
        </w:rPr>
        <w:t>Proxy Statement Pursuant to Section 14(a) of the Securities Exchange Act of 1934</w:t>
      </w:r>
    </w:p>
    <w:p>
      <w:pPr>
        <w:spacing w:after="0" w:line="19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0"/>
          <w:szCs w:val="20"/>
          <w:color w:val="auto"/>
        </w:rPr>
        <w:t>(Amendment No. )</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the Registrant [X]</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 [ ]</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69"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Preliminary Proxy Statement</w:t>
      </w:r>
    </w:p>
    <w:p>
      <w:pPr>
        <w:spacing w:after="0" w:line="69"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Confidential, for Use of the Commission Only (as permitted by Rule 14a-6(e)(2))</w:t>
      </w:r>
    </w:p>
    <w:p>
      <w:pPr>
        <w:spacing w:after="0" w:line="69" w:lineRule="exact"/>
        <w:rPr>
          <w:sz w:val="24"/>
          <w:szCs w:val="24"/>
          <w:color w:val="auto"/>
        </w:rPr>
      </w:pPr>
    </w:p>
    <w:p>
      <w:pPr>
        <w:ind w:left="460" w:hanging="454"/>
        <w:spacing w:after="0"/>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Definitive Proxy Statement</w:t>
      </w:r>
    </w:p>
    <w:p>
      <w:pPr>
        <w:spacing w:after="0" w:line="69"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Definitive Additional Materials</w:t>
      </w:r>
    </w:p>
    <w:p>
      <w:pPr>
        <w:spacing w:after="0" w:line="69"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Soliciting Material Under §240.14a-12</w:t>
      </w:r>
    </w:p>
    <w:p>
      <w:pPr>
        <w:spacing w:after="0" w:line="32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8"/>
          <w:szCs w:val="28"/>
          <w:b w:val="1"/>
          <w:bCs w:val="1"/>
          <w:color w:val="auto"/>
        </w:rPr>
        <w:t>HESAPEAKE</w:t>
      </w:r>
      <w:r>
        <w:rPr>
          <w:rFonts w:ascii="Times New Roman" w:cs="Times New Roman" w:eastAsia="Times New Roman" w:hAnsi="Times New Roman"/>
          <w:sz w:val="32"/>
          <w:szCs w:val="32"/>
          <w:b w:val="1"/>
          <w:bCs w:val="1"/>
          <w:color w:val="auto"/>
        </w:rPr>
        <w:t xml:space="preserve"> U</w:t>
      </w:r>
      <w:r>
        <w:rPr>
          <w:rFonts w:ascii="Times New Roman" w:cs="Times New Roman" w:eastAsia="Times New Roman" w:hAnsi="Times New Roman"/>
          <w:sz w:val="28"/>
          <w:szCs w:val="28"/>
          <w:b w:val="1"/>
          <w:bCs w:val="1"/>
          <w:color w:val="auto"/>
        </w:rPr>
        <w:t>TILITIES</w:t>
      </w:r>
      <w:r>
        <w:rPr>
          <w:rFonts w:ascii="Times New Roman" w:cs="Times New Roman" w:eastAsia="Times New Roman" w:hAnsi="Times New Roman"/>
          <w:sz w:val="32"/>
          <w:szCs w:val="32"/>
          <w:b w:val="1"/>
          <w:bCs w:val="1"/>
          <w:color w:val="auto"/>
        </w:rPr>
        <w:t xml:space="preserve"> C</w:t>
      </w:r>
      <w:r>
        <w:rPr>
          <w:rFonts w:ascii="Times New Roman" w:cs="Times New Roman" w:eastAsia="Times New Roman" w:hAnsi="Times New Roman"/>
          <w:sz w:val="28"/>
          <w:szCs w:val="28"/>
          <w:b w:val="1"/>
          <w:bCs w:val="1"/>
          <w:color w:val="auto"/>
        </w:rPr>
        <w:t>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314960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23" w:lineRule="exact"/>
        <w:rPr>
          <w:sz w:val="24"/>
          <w:szCs w:val="24"/>
          <w:color w:val="auto"/>
        </w:rPr>
      </w:pPr>
    </w:p>
    <w:p>
      <w:pPr>
        <w:ind w:left="460" w:hanging="454"/>
        <w:spacing w:after="0"/>
        <w:tabs>
          <w:tab w:leader="none" w:pos="4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fee required.</w:t>
      </w:r>
    </w:p>
    <w:p>
      <w:pPr>
        <w:spacing w:after="0" w:line="12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Fee paid previously with preliminary materials.</w:t>
      </w:r>
    </w:p>
    <w:p>
      <w:pPr>
        <w:spacing w:after="0" w:line="12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671195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406400</wp:posOffset>
            </wp:positionV>
            <wp:extent cx="7157720" cy="8987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8987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611505</wp:posOffset>
            </wp:positionV>
            <wp:extent cx="184277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42770" cy="44577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2026</w:t>
      </w:r>
    </w:p>
    <w:p>
      <w:pPr>
        <w:spacing w:after="0" w:line="132" w:lineRule="exact"/>
        <w:rPr>
          <w:sz w:val="20"/>
          <w:szCs w:val="20"/>
          <w:color w:val="auto"/>
        </w:rPr>
      </w:pPr>
    </w:p>
    <w:p>
      <w:pPr>
        <w:spacing w:after="0"/>
        <w:rPr>
          <w:sz w:val="20"/>
          <w:szCs w:val="20"/>
          <w:color w:val="auto"/>
        </w:rPr>
      </w:pPr>
      <w:r>
        <w:rPr>
          <w:rFonts w:ascii="Arial" w:cs="Arial" w:eastAsia="Arial" w:hAnsi="Arial"/>
          <w:sz w:val="32"/>
          <w:szCs w:val="32"/>
          <w:b w:val="1"/>
          <w:bCs w:val="1"/>
          <w:color w:val="00447C"/>
        </w:rPr>
        <w:t>Notice of Virtual 2026 Annual Meeting of Stockholders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On Wednesday, May 6, 2026, Chesapeake Utilities Corporation (the "Company") will hold its 2026 Annual Meeting of Stockholders (the "Meeting") at 9:00 a.m. Eastern Time. The Meeting will be held in a virtual meeting format only. Stockholders will be able to listen, vote and submit questions by logging in at </w:t>
      </w:r>
      <w:r>
        <w:rPr>
          <w:rFonts w:ascii="Times New Roman" w:cs="Times New Roman" w:eastAsia="Times New Roman" w:hAnsi="Times New Roman"/>
          <w:sz w:val="18"/>
          <w:szCs w:val="18"/>
          <w:i w:val="1"/>
          <w:iCs w:val="1"/>
          <w:color w:val="auto"/>
        </w:rPr>
        <w:t>www.virtualshareholdermeeting.com/CPK2026</w:t>
      </w:r>
      <w:r>
        <w:rPr>
          <w:rFonts w:ascii="Times New Roman" w:cs="Times New Roman" w:eastAsia="Times New Roman" w:hAnsi="Times New Roman"/>
          <w:sz w:val="18"/>
          <w:szCs w:val="18"/>
          <w:color w:val="auto"/>
        </w:rPr>
        <w:t xml:space="preserve">. If you plan to participate in the virtual Meeting, please see the </w:t>
      </w:r>
      <w:r>
        <w:rPr>
          <w:rFonts w:ascii="Times New Roman" w:cs="Times New Roman" w:eastAsia="Times New Roman" w:hAnsi="Times New Roman"/>
          <w:sz w:val="18"/>
          <w:szCs w:val="18"/>
          <w:i w:val="1"/>
          <w:iCs w:val="1"/>
          <w:color w:val="auto"/>
        </w:rPr>
        <w:t>Meeting Attendance and Participation</w:t>
      </w:r>
      <w:r>
        <w:rPr>
          <w:rFonts w:ascii="Times New Roman" w:cs="Times New Roman" w:eastAsia="Times New Roman" w:hAnsi="Times New Roman"/>
          <w:sz w:val="18"/>
          <w:szCs w:val="18"/>
          <w:color w:val="auto"/>
        </w:rPr>
        <w:t xml:space="preserve"> section in the accompanying Proxy Statement. Stockholders of record at the close of business on March 9, 2026 will be asked to vote on the following matters: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8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 of Proposal</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0" w:type="dxa"/>
            <w:vAlign w:val="bottom"/>
          </w:tcPr>
          <w:p>
            <w:pPr>
              <w:spacing w:after="0"/>
              <w:rPr>
                <w:sz w:val="1"/>
                <w:szCs w:val="1"/>
                <w:color w:val="auto"/>
              </w:rPr>
            </w:pPr>
          </w:p>
        </w:tc>
      </w:tr>
      <w:tr>
        <w:trPr>
          <w:trHeight w:val="245"/>
        </w:trPr>
        <w:tc>
          <w:tcPr>
            <w:tcW w:w="1100" w:type="dxa"/>
            <w:vAlign w:val="bottom"/>
            <w:tcBorders>
              <w:bottom w:val="single" w:sz="8" w:color="ADADAD"/>
            </w:tcBorders>
            <w:vMerge w:val="continue"/>
          </w:tcPr>
          <w:p>
            <w:pPr>
              <w:spacing w:after="0"/>
              <w:rPr>
                <w:sz w:val="21"/>
                <w:szCs w:val="21"/>
                <w:color w:val="auto"/>
              </w:rPr>
            </w:pPr>
          </w:p>
        </w:tc>
        <w:tc>
          <w:tcPr>
            <w:tcW w:w="8080" w:type="dxa"/>
            <w:vAlign w:val="bottom"/>
            <w:tcBorders>
              <w:bottom w:val="single" w:sz="8" w:color="ADADAD"/>
            </w:tcBorders>
            <w:vMerge w:val="continue"/>
          </w:tcPr>
          <w:p>
            <w:pPr>
              <w:spacing w:after="0"/>
              <w:rPr>
                <w:sz w:val="21"/>
                <w:szCs w:val="21"/>
                <w:color w:val="auto"/>
              </w:rPr>
            </w:pPr>
          </w:p>
        </w:tc>
        <w:tc>
          <w:tcPr>
            <w:tcW w:w="1880" w:type="dxa"/>
            <w:vAlign w:val="bottom"/>
            <w:tcBorders>
              <w:bottom w:val="single" w:sz="8" w:color="ADADAD"/>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0" w:type="dxa"/>
            <w:vAlign w:val="bottom"/>
          </w:tcPr>
          <w:p>
            <w:pPr>
              <w:spacing w:after="0"/>
              <w:rPr>
                <w:sz w:val="1"/>
                <w:szCs w:val="1"/>
                <w:color w:val="auto"/>
              </w:rPr>
            </w:pPr>
          </w:p>
        </w:tc>
      </w:tr>
      <w:tr>
        <w:trPr>
          <w:trHeight w:val="277"/>
        </w:trPr>
        <w:tc>
          <w:tcPr>
            <w:tcW w:w="1100" w:type="dxa"/>
            <w:vAlign w:val="bottom"/>
            <w:tcBorders>
              <w:bottom w:val="single" w:sz="8" w:color="CBCBCB"/>
            </w:tcBorders>
          </w:tcPr>
          <w:p>
            <w:pPr>
              <w:ind w:left="20"/>
              <w:spacing w:after="0"/>
              <w:rPr>
                <w:sz w:val="20"/>
                <w:szCs w:val="20"/>
                <w:color w:val="auto"/>
              </w:rPr>
            </w:pPr>
            <w:r>
              <w:rPr>
                <w:rFonts w:ascii="Times New Roman" w:cs="Times New Roman" w:eastAsia="Times New Roman" w:hAnsi="Times New Roman"/>
                <w:sz w:val="18"/>
                <w:szCs w:val="18"/>
                <w:color w:val="auto"/>
              </w:rPr>
              <w:t>Proposal 1</w:t>
            </w:r>
          </w:p>
        </w:tc>
        <w:tc>
          <w:tcPr>
            <w:tcW w:w="8080" w:type="dxa"/>
            <w:vAlign w:val="bottom"/>
            <w:tcBorders>
              <w:bottom w:val="single" w:sz="8" w:color="CBCBCB"/>
            </w:tcBorders>
          </w:tcPr>
          <w:p>
            <w:pPr>
              <w:ind w:left="280"/>
              <w:spacing w:after="0"/>
              <w:rPr>
                <w:sz w:val="20"/>
                <w:szCs w:val="20"/>
                <w:color w:val="auto"/>
              </w:rPr>
            </w:pPr>
            <w:r>
              <w:rPr>
                <w:rFonts w:ascii="Times New Roman" w:cs="Times New Roman" w:eastAsia="Times New Roman" w:hAnsi="Times New Roman"/>
                <w:sz w:val="18"/>
                <w:szCs w:val="18"/>
                <w:color w:val="auto"/>
              </w:rPr>
              <w:t>Election of one Class II director and three Class III directors named in the Proxy Statement</w:t>
            </w:r>
          </w:p>
        </w:tc>
        <w:tc>
          <w:tcPr>
            <w:tcW w:w="1880" w:type="dxa"/>
            <w:vAlign w:val="bottom"/>
            <w:tcBorders>
              <w:bottom w:val="single" w:sz="8" w:color="CBCBCB"/>
            </w:tcBorders>
          </w:tcPr>
          <w:p>
            <w:pPr>
              <w:ind w:left="140"/>
              <w:spacing w:after="0"/>
              <w:rPr>
                <w:sz w:val="20"/>
                <w:szCs w:val="20"/>
                <w:color w:val="auto"/>
              </w:rPr>
            </w:pPr>
            <w:r>
              <w:rPr>
                <w:rFonts w:ascii="Times New Roman" w:cs="Times New Roman" w:eastAsia="Times New Roman" w:hAnsi="Times New Roman"/>
                <w:sz w:val="18"/>
                <w:szCs w:val="18"/>
                <w:color w:val="auto"/>
              </w:rPr>
              <w:t>FOR each nominee</w:t>
            </w:r>
          </w:p>
        </w:tc>
        <w:tc>
          <w:tcPr>
            <w:tcW w:w="0" w:type="dxa"/>
            <w:vAlign w:val="bottom"/>
          </w:tcPr>
          <w:p>
            <w:pPr>
              <w:spacing w:after="0"/>
              <w:rPr>
                <w:sz w:val="1"/>
                <w:szCs w:val="1"/>
                <w:color w:val="auto"/>
              </w:rPr>
            </w:pPr>
          </w:p>
        </w:tc>
      </w:tr>
      <w:tr>
        <w:trPr>
          <w:trHeight w:val="277"/>
        </w:trPr>
        <w:tc>
          <w:tcPr>
            <w:tcW w:w="1100" w:type="dxa"/>
            <w:vAlign w:val="bottom"/>
            <w:tcBorders>
              <w:bottom w:val="single" w:sz="8" w:color="CBCBCB"/>
            </w:tcBorders>
          </w:tcPr>
          <w:p>
            <w:pPr>
              <w:ind w:left="20"/>
              <w:spacing w:after="0"/>
              <w:rPr>
                <w:sz w:val="20"/>
                <w:szCs w:val="20"/>
                <w:color w:val="auto"/>
              </w:rPr>
            </w:pPr>
            <w:r>
              <w:rPr>
                <w:rFonts w:ascii="Times New Roman" w:cs="Times New Roman" w:eastAsia="Times New Roman" w:hAnsi="Times New Roman"/>
                <w:sz w:val="18"/>
                <w:szCs w:val="18"/>
                <w:color w:val="auto"/>
              </w:rPr>
              <w:t>Proposal 2</w:t>
            </w:r>
          </w:p>
        </w:tc>
        <w:tc>
          <w:tcPr>
            <w:tcW w:w="8080" w:type="dxa"/>
            <w:vAlign w:val="bottom"/>
            <w:tcBorders>
              <w:bottom w:val="single" w:sz="8" w:color="CBCBCB"/>
            </w:tcBorders>
          </w:tcPr>
          <w:p>
            <w:pPr>
              <w:ind w:left="280"/>
              <w:spacing w:after="0"/>
              <w:rPr>
                <w:sz w:val="20"/>
                <w:szCs w:val="20"/>
                <w:color w:val="auto"/>
              </w:rPr>
            </w:pPr>
            <w:r>
              <w:rPr>
                <w:rFonts w:ascii="Times New Roman" w:cs="Times New Roman" w:eastAsia="Times New Roman" w:hAnsi="Times New Roman"/>
                <w:sz w:val="18"/>
                <w:szCs w:val="18"/>
                <w:color w:val="auto"/>
              </w:rPr>
              <w:t>Approve on an advisory non-binding basis the compensation of the Company's Named Executive Officers</w:t>
            </w:r>
          </w:p>
        </w:tc>
        <w:tc>
          <w:tcPr>
            <w:tcW w:w="1880" w:type="dxa"/>
            <w:vAlign w:val="bottom"/>
            <w:tcBorders>
              <w:bottom w:val="single" w:sz="8" w:color="CBCBCB"/>
            </w:tcBorders>
          </w:tcPr>
          <w:p>
            <w:pPr>
              <w:ind w:left="14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25"/>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3</w:t>
            </w:r>
          </w:p>
        </w:tc>
        <w:tc>
          <w:tcPr>
            <w:tcW w:w="8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Ratify the appointment of Baker Tilly US, LLP as the Company’s independent registered public</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41"/>
        </w:trPr>
        <w:tc>
          <w:tcPr>
            <w:tcW w:w="1100" w:type="dxa"/>
            <w:vAlign w:val="bottom"/>
            <w:tcBorders>
              <w:bottom w:val="single" w:sz="8" w:color="CBCBCB"/>
            </w:tcBorders>
          </w:tcPr>
          <w:p>
            <w:pPr>
              <w:spacing w:after="0"/>
              <w:rPr>
                <w:sz w:val="20"/>
                <w:szCs w:val="20"/>
                <w:color w:val="auto"/>
              </w:rPr>
            </w:pPr>
          </w:p>
        </w:tc>
        <w:tc>
          <w:tcPr>
            <w:tcW w:w="8080" w:type="dxa"/>
            <w:vAlign w:val="bottom"/>
            <w:tcBorders>
              <w:bottom w:val="single" w:sz="8" w:color="CBCBCB"/>
            </w:tcBorders>
          </w:tcPr>
          <w:p>
            <w:pPr>
              <w:ind w:left="280"/>
              <w:spacing w:after="0"/>
              <w:rPr>
                <w:sz w:val="20"/>
                <w:szCs w:val="20"/>
                <w:color w:val="auto"/>
              </w:rPr>
            </w:pPr>
            <w:r>
              <w:rPr>
                <w:rFonts w:ascii="Times New Roman" w:cs="Times New Roman" w:eastAsia="Times New Roman" w:hAnsi="Times New Roman"/>
                <w:sz w:val="18"/>
                <w:szCs w:val="18"/>
                <w:color w:val="auto"/>
              </w:rPr>
              <w:t>accounting firm</w:t>
            </w:r>
          </w:p>
        </w:tc>
        <w:tc>
          <w:tcPr>
            <w:tcW w:w="1880" w:type="dxa"/>
            <w:vAlign w:val="bottom"/>
            <w:tcBorders>
              <w:bottom w:val="single" w:sz="8" w:color="CBCBCB"/>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Please read the accompanying Proxy Statement for additional information on the matters we are asking you to vote on at the Meeting. Stockholders will also transact any other business that is properly brought before the Meeting and at any adjournment or postponement of the Meeting. For any other business that is properly brought before the Meeting, the appointed proxies are authorized to vote pursuant to their discretion.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and we encourage you to submit your proxy as soon as possible even if you plan to participate in the virtual Meeting.</w:t>
      </w:r>
    </w:p>
    <w:p>
      <w:pPr>
        <w:sectPr>
          <w:pgSz w:w="11900" w:h="16838" w:orient="portrait"/>
          <w:cols w:equalWidth="0" w:num="1">
            <w:col w:w="11240"/>
          </w:cols>
          <w:pgMar w:left="320" w:top="1440" w:right="339" w:bottom="1440" w:gutter="0" w:footer="0" w:header="0"/>
        </w:sectPr>
      </w:pP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0497F"/>
        </w:rPr>
        <w:t>Internet</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0497F"/>
        </w:rPr>
        <w:t>Mobile Device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0497F"/>
        </w:rPr>
        <w:t>Telephone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0497F"/>
        </w:rPr>
        <w:t>Mail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740"/>
        <w:spacing w:after="0" w:line="251" w:lineRule="auto"/>
        <w:rPr>
          <w:sz w:val="20"/>
          <w:szCs w:val="20"/>
          <w:color w:val="auto"/>
        </w:rPr>
      </w:pPr>
      <w:r>
        <w:rPr>
          <w:rFonts w:ascii="Times New Roman" w:cs="Times New Roman" w:eastAsia="Times New Roman" w:hAnsi="Times New Roman"/>
          <w:sz w:val="18"/>
          <w:szCs w:val="18"/>
          <w:color w:val="auto"/>
        </w:rPr>
        <w:t xml:space="preserve">Type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in your internet browser and enter the control number on your Notice of Internet Availability of Proxy Materials or proxy card.</w:t>
      </w:r>
    </w:p>
    <w:p>
      <w:pPr>
        <w:spacing w:after="0" w:line="1" w:lineRule="exact"/>
        <w:rPr>
          <w:sz w:val="20"/>
          <w:szCs w:val="20"/>
          <w:color w:val="auto"/>
        </w:rPr>
      </w:pPr>
    </w:p>
    <w:p>
      <w:pPr>
        <w:ind w:right="820"/>
        <w:spacing w:after="0" w:line="250" w:lineRule="auto"/>
        <w:rPr>
          <w:sz w:val="20"/>
          <w:szCs w:val="20"/>
          <w:color w:val="auto"/>
        </w:rPr>
      </w:pPr>
      <w:r>
        <w:rPr>
          <w:rFonts w:ascii="Times New Roman" w:cs="Times New Roman" w:eastAsia="Times New Roman" w:hAnsi="Times New Roman"/>
          <w:sz w:val="18"/>
          <w:szCs w:val="18"/>
          <w:color w:val="auto"/>
        </w:rPr>
        <w:t>Scan the QR Code on your Notice of Internet Availability of Proxy Materials or proxy card with your mobile device and enter the control number.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 toll free (800) 690-6903 and follow the telephone prompts.</w:t>
      </w:r>
    </w:p>
    <w:p>
      <w:pPr>
        <w:spacing w:after="0" w:line="63"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If you receive a paper copy of the proxy materials by mail, to cast your ballot, complete, sign and date your proxy card, and mail it in the enclosed envelope.</w:t>
      </w:r>
    </w:p>
    <w:p>
      <w:pPr>
        <w:spacing w:after="0" w:line="200" w:lineRule="exact"/>
        <w:rPr>
          <w:sz w:val="20"/>
          <w:szCs w:val="20"/>
          <w:color w:val="auto"/>
        </w:rPr>
      </w:pPr>
    </w:p>
    <w:p>
      <w:pPr>
        <w:sectPr>
          <w:pgSz w:w="11900" w:h="16838" w:orient="portrait"/>
          <w:cols w:equalWidth="0" w:num="2">
            <w:col w:w="1200" w:space="560"/>
            <w:col w:w="9480"/>
          </w:cols>
          <w:pgMar w:left="320" w:top="1440" w:right="339" w:bottom="1440" w:gutter="0" w:footer="0" w:header="0"/>
          <w:type w:val="continuous"/>
        </w:sectPr>
      </w:pPr>
    </w:p>
    <w:p>
      <w:pPr>
        <w:spacing w:after="0" w:line="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If you own shares through your bank, broker, trustee, nominee, or other institution, you will receive separate instructions through your representative on how you can vote the shares you own in those accounts.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investment in Chesapeake Utilities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13157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15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F. Moriarty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 Corporate Secretary and Chief Policy and Risk Officer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Important Notice Regarding the Availability of Proxy Materials. This Notice for the Virtual 2026 Annual Meeting of Stockholders to be held on May 6, 2026, the Proxy Statement (which includes instructions for attending our virtual Annual Meeting), and our 2025 Annual Report are available at </w:t>
      </w:r>
      <w:r>
        <w:rPr>
          <w:rFonts w:ascii="Times New Roman" w:cs="Times New Roman" w:eastAsia="Times New Roman" w:hAnsi="Times New Roman"/>
          <w:sz w:val="14"/>
          <w:szCs w:val="14"/>
          <w:u w:val="single" w:color="auto"/>
          <w:color w:val="auto"/>
        </w:rPr>
        <w:t>www.chpk.com/proxymaterials</w:t>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500 Energy Lane, Dover, DE 19901 ▪ </w:t>
      </w:r>
      <w:r>
        <w:rPr>
          <w:rFonts w:ascii="Times New Roman" w:cs="Times New Roman" w:eastAsia="Times New Roman" w:hAnsi="Times New Roman"/>
          <w:sz w:val="14"/>
          <w:szCs w:val="14"/>
          <w:u w:val="single" w:color="auto"/>
          <w:color w:val="auto"/>
        </w:rPr>
        <w:t>www.chpk.com</w:t>
      </w:r>
      <w:r>
        <w:rPr>
          <w:rFonts w:ascii="Times New Roman" w:cs="Times New Roman" w:eastAsia="Times New Roman" w:hAnsi="Times New Roman"/>
          <w:sz w:val="14"/>
          <w:szCs w:val="14"/>
          <w:color w:val="auto"/>
        </w:rPr>
        <w:t xml:space="preserve"> ▪ (888) 742-5275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612140</wp:posOffset>
            </wp:positionV>
            <wp:extent cx="7157720" cy="8662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662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36"/>
          <w:szCs w:val="36"/>
          <w:b w:val="1"/>
          <w:bCs w:val="1"/>
          <w:color w:val="00497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58"/>
                <w:szCs w:val="58"/>
                <w:color w:val="auto"/>
              </w:rPr>
              <w:t>1</w:t>
            </w:r>
          </w:p>
        </w:tc>
        <w:tc>
          <w:tcPr>
            <w:tcW w:w="2060" w:type="dxa"/>
            <w:vAlign w:val="bottom"/>
          </w:tcPr>
          <w:p>
            <w:pPr>
              <w:spacing w:after="0"/>
              <w:rPr>
                <w:sz w:val="17"/>
                <w:szCs w:val="17"/>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Voting Information</w:t>
            </w: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w w:val="88"/>
              </w:rPr>
              <w:t>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continue"/>
          </w:tcPr>
          <w:p>
            <w:pPr>
              <w:spacing w:after="0" w:line="20" w:lineRule="exact"/>
              <w:rPr>
                <w:sz w:val="1"/>
                <w:szCs w:val="1"/>
                <w:color w:val="auto"/>
              </w:rPr>
            </w:pP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Proxy Statement</w:t>
            </w: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2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 Nominations and Eligibility</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80" w:type="dxa"/>
            <w:vAlign w:val="bottom"/>
            <w:gridSpan w:val="2"/>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81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Board Composition</w:t>
            </w:r>
          </w:p>
        </w:tc>
        <w:tc>
          <w:tcPr>
            <w:tcW w:w="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0000FF"/>
                <w:w w:val="88"/>
              </w:rPr>
              <w:t>4</w:t>
            </w:r>
          </w:p>
        </w:tc>
        <w:tc>
          <w:tcPr>
            <w:tcW w:w="12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8180" w:type="dxa"/>
            <w:vAlign w:val="bottom"/>
            <w:gridSpan w:val="26"/>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600" w:type="dxa"/>
            <w:vAlign w:val="bottom"/>
            <w:tcBorders>
              <w:top w:val="single" w:sz="8" w:color="0000FF"/>
              <w:bottom w:val="single" w:sz="8" w:color="auto"/>
            </w:tcBorders>
          </w:tcPr>
          <w:p>
            <w:pPr>
              <w:spacing w:after="0"/>
              <w:rPr>
                <w:sz w:val="8"/>
                <w:szCs w:val="8"/>
                <w:color w:val="auto"/>
              </w:rPr>
            </w:pPr>
          </w:p>
        </w:tc>
        <w:tc>
          <w:tcPr>
            <w:tcW w:w="42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58"/>
                <w:szCs w:val="58"/>
                <w:color w:val="auto"/>
              </w:rPr>
              <w:t>2</w:t>
            </w:r>
          </w:p>
        </w:tc>
        <w:tc>
          <w:tcPr>
            <w:tcW w:w="2060" w:type="dxa"/>
            <w:vAlign w:val="bottom"/>
          </w:tcPr>
          <w:p>
            <w:pPr>
              <w:spacing w:after="0"/>
              <w:rPr>
                <w:sz w:val="21"/>
                <w:szCs w:val="21"/>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Election of Directors</w:t>
            </w:r>
          </w:p>
        </w:tc>
        <w:tc>
          <w:tcPr>
            <w:tcW w:w="6660" w:type="dxa"/>
            <w:vAlign w:val="bottom"/>
            <w:gridSpan w:val="19"/>
          </w:tcPr>
          <w:p>
            <w:pPr>
              <w:spacing w:after="0"/>
              <w:rPr>
                <w:sz w:val="21"/>
                <w:szCs w:val="21"/>
                <w:color w:val="auto"/>
              </w:rPr>
            </w:pPr>
          </w:p>
        </w:tc>
        <w:tc>
          <w:tcPr>
            <w:tcW w:w="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continu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80" w:type="dxa"/>
            <w:vAlign w:val="bottom"/>
            <w:gridSpan w:val="2"/>
            <w:vMerge w:val="continue"/>
          </w:tcPr>
          <w:p>
            <w:pPr>
              <w:spacing w:after="0"/>
              <w:rPr>
                <w:sz w:val="24"/>
                <w:szCs w:val="24"/>
                <w:color w:val="auto"/>
              </w:rPr>
            </w:pP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55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Approval of the Compensation of the Company's Named Executive Officers</w:t>
            </w:r>
          </w:p>
        </w:tc>
        <w:tc>
          <w:tcPr>
            <w:tcW w:w="2680" w:type="dxa"/>
            <w:vAlign w:val="bottom"/>
            <w:gridSpan w:val="4"/>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81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Ratification of the Appointment of the Independent Registered Public Accounting Firm</w:t>
            </w:r>
          </w:p>
        </w:tc>
        <w:tc>
          <w:tcPr>
            <w:tcW w:w="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70"/>
              </w:rPr>
              <w:t>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8180" w:type="dxa"/>
            <w:vAlign w:val="bottom"/>
            <w:gridSpan w:val="26"/>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600" w:type="dxa"/>
            <w:vAlign w:val="bottom"/>
            <w:tcBorders>
              <w:top w:val="single" w:sz="8" w:color="0000FF"/>
              <w:bottom w:val="single" w:sz="8" w:color="auto"/>
            </w:tcBorders>
          </w:tcPr>
          <w:p>
            <w:pPr>
              <w:spacing w:after="0"/>
              <w:rPr>
                <w:sz w:val="11"/>
                <w:szCs w:val="11"/>
                <w:color w:val="auto"/>
              </w:rPr>
            </w:pPr>
          </w:p>
        </w:tc>
        <w:tc>
          <w:tcPr>
            <w:tcW w:w="42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20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40" w:type="dxa"/>
            <w:vAlign w:val="bottom"/>
            <w:tcBorders>
              <w:top w:val="single" w:sz="8" w:color="0000FF"/>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40" w:type="dxa"/>
            <w:vAlign w:val="bottom"/>
            <w:tcBorders>
              <w:top w:val="single" w:sz="8" w:color="0000FF"/>
              <w:bottom w:val="single" w:sz="8" w:color="auto"/>
            </w:tcBorders>
          </w:tcPr>
          <w:p>
            <w:pPr>
              <w:spacing w:after="0"/>
              <w:rPr>
                <w:sz w:val="11"/>
                <w:szCs w:val="11"/>
                <w:color w:val="auto"/>
              </w:rPr>
            </w:pPr>
          </w:p>
        </w:tc>
        <w:tc>
          <w:tcPr>
            <w:tcW w:w="320" w:type="dxa"/>
            <w:vAlign w:val="bottom"/>
            <w:tcBorders>
              <w:top w:val="single" w:sz="8" w:color="0000FF"/>
              <w:bottom w:val="single" w:sz="8" w:color="auto"/>
            </w:tcBorders>
          </w:tcPr>
          <w:p>
            <w:pPr>
              <w:spacing w:after="0"/>
              <w:rPr>
                <w:sz w:val="11"/>
                <w:szCs w:val="11"/>
                <w:color w:val="auto"/>
              </w:rPr>
            </w:pPr>
          </w:p>
        </w:tc>
        <w:tc>
          <w:tcPr>
            <w:tcW w:w="200" w:type="dxa"/>
            <w:vAlign w:val="bottom"/>
            <w:tcBorders>
              <w:top w:val="single" w:sz="8" w:color="0000FF"/>
              <w:bottom w:val="single" w:sz="8" w:color="auto"/>
            </w:tcBorders>
          </w:tcPr>
          <w:p>
            <w:pPr>
              <w:spacing w:after="0"/>
              <w:rPr>
                <w:sz w:val="11"/>
                <w:szCs w:val="11"/>
                <w:color w:val="auto"/>
              </w:rPr>
            </w:pPr>
          </w:p>
        </w:tc>
        <w:tc>
          <w:tcPr>
            <w:tcW w:w="140" w:type="dxa"/>
            <w:vAlign w:val="bottom"/>
            <w:tcBorders>
              <w:top w:val="single" w:sz="8" w:color="0000FF"/>
              <w:bottom w:val="single" w:sz="8" w:color="auto"/>
            </w:tcBorders>
          </w:tcPr>
          <w:p>
            <w:pPr>
              <w:spacing w:after="0"/>
              <w:rPr>
                <w:sz w:val="11"/>
                <w:szCs w:val="11"/>
                <w:color w:val="auto"/>
              </w:rPr>
            </w:pPr>
          </w:p>
        </w:tc>
        <w:tc>
          <w:tcPr>
            <w:tcW w:w="180" w:type="dxa"/>
            <w:vAlign w:val="bottom"/>
            <w:tcBorders>
              <w:top w:val="single" w:sz="8" w:color="0000FF"/>
              <w:bottom w:val="single" w:sz="8" w:color="auto"/>
            </w:tcBorders>
          </w:tcPr>
          <w:p>
            <w:pPr>
              <w:spacing w:after="0"/>
              <w:rPr>
                <w:sz w:val="11"/>
                <w:szCs w:val="11"/>
                <w:color w:val="auto"/>
              </w:rPr>
            </w:pPr>
          </w:p>
        </w:tc>
        <w:tc>
          <w:tcPr>
            <w:tcW w:w="180" w:type="dxa"/>
            <w:vAlign w:val="bottom"/>
            <w:tcBorders>
              <w:top w:val="single" w:sz="8" w:color="0000FF"/>
              <w:bottom w:val="single" w:sz="8" w:color="auto"/>
            </w:tcBorders>
          </w:tcPr>
          <w:p>
            <w:pPr>
              <w:spacing w:after="0"/>
              <w:rPr>
                <w:sz w:val="11"/>
                <w:szCs w:val="11"/>
                <w:color w:val="auto"/>
              </w:rPr>
            </w:pPr>
          </w:p>
        </w:tc>
        <w:tc>
          <w:tcPr>
            <w:tcW w:w="20" w:type="dxa"/>
            <w:vAlign w:val="bottom"/>
            <w:tcBorders>
              <w:top w:val="single" w:sz="8" w:color="0000FF"/>
              <w:bottom w:val="single" w:sz="8" w:color="auto"/>
            </w:tcBorders>
          </w:tcPr>
          <w:p>
            <w:pPr>
              <w:spacing w:after="0"/>
              <w:rPr>
                <w:sz w:val="11"/>
                <w:szCs w:val="11"/>
                <w:color w:val="auto"/>
              </w:rPr>
            </w:pPr>
          </w:p>
        </w:tc>
        <w:tc>
          <w:tcPr>
            <w:tcW w:w="280" w:type="dxa"/>
            <w:vAlign w:val="bottom"/>
            <w:tcBorders>
              <w:top w:val="single" w:sz="8" w:color="0000FF"/>
              <w:bottom w:val="single" w:sz="8" w:color="auto"/>
            </w:tcBorders>
          </w:tcPr>
          <w:p>
            <w:pPr>
              <w:spacing w:after="0"/>
              <w:rPr>
                <w:sz w:val="11"/>
                <w:szCs w:val="11"/>
                <w:color w:val="auto"/>
              </w:rPr>
            </w:pPr>
          </w:p>
        </w:tc>
        <w:tc>
          <w:tcPr>
            <w:tcW w:w="140" w:type="dxa"/>
            <w:vAlign w:val="bottom"/>
            <w:tcBorders>
              <w:top w:val="single" w:sz="8" w:color="0000FF"/>
              <w:bottom w:val="single" w:sz="8" w:color="auto"/>
            </w:tcBorders>
          </w:tcPr>
          <w:p>
            <w:pPr>
              <w:spacing w:after="0"/>
              <w:rPr>
                <w:sz w:val="11"/>
                <w:szCs w:val="11"/>
                <w:color w:val="auto"/>
              </w:rPr>
            </w:pPr>
          </w:p>
        </w:tc>
        <w:tc>
          <w:tcPr>
            <w:tcW w:w="940" w:type="dxa"/>
            <w:vAlign w:val="bottom"/>
            <w:tcBorders>
              <w:top w:val="single" w:sz="8" w:color="0000FF"/>
              <w:bottom w:val="single" w:sz="8" w:color="auto"/>
            </w:tcBorders>
          </w:tcPr>
          <w:p>
            <w:pPr>
              <w:spacing w:after="0"/>
              <w:rPr>
                <w:sz w:val="11"/>
                <w:szCs w:val="11"/>
                <w:color w:val="auto"/>
              </w:rPr>
            </w:pPr>
          </w:p>
        </w:tc>
        <w:tc>
          <w:tcPr>
            <w:tcW w:w="240" w:type="dxa"/>
            <w:vAlign w:val="bottom"/>
            <w:tcBorders>
              <w:top w:val="single" w:sz="8" w:color="0000FF"/>
              <w:bottom w:val="single" w:sz="8" w:color="auto"/>
            </w:tcBorders>
          </w:tcPr>
          <w:p>
            <w:pPr>
              <w:spacing w:after="0"/>
              <w:rPr>
                <w:sz w:val="11"/>
                <w:szCs w:val="11"/>
                <w:color w:val="auto"/>
              </w:rPr>
            </w:pPr>
          </w:p>
        </w:tc>
        <w:tc>
          <w:tcPr>
            <w:tcW w:w="1040" w:type="dxa"/>
            <w:vAlign w:val="bottom"/>
            <w:tcBorders>
              <w:top w:val="single" w:sz="8" w:color="0000FF"/>
              <w:bottom w:val="single" w:sz="8" w:color="auto"/>
            </w:tcBorders>
          </w:tcPr>
          <w:p>
            <w:pPr>
              <w:spacing w:after="0"/>
              <w:rPr>
                <w:sz w:val="11"/>
                <w:szCs w:val="11"/>
                <w:color w:val="auto"/>
              </w:rPr>
            </w:pPr>
          </w:p>
        </w:tc>
        <w:tc>
          <w:tcPr>
            <w:tcW w:w="500" w:type="dxa"/>
            <w:vAlign w:val="bottom"/>
            <w:tcBorders>
              <w:top w:val="single" w:sz="8" w:color="0000FF"/>
              <w:bottom w:val="single" w:sz="8" w:color="auto"/>
            </w:tcBorders>
          </w:tcPr>
          <w:p>
            <w:pPr>
              <w:spacing w:after="0"/>
              <w:rPr>
                <w:sz w:val="11"/>
                <w:szCs w:val="11"/>
                <w:color w:val="auto"/>
              </w:rPr>
            </w:pPr>
          </w:p>
        </w:tc>
        <w:tc>
          <w:tcPr>
            <w:tcW w:w="300" w:type="dxa"/>
            <w:vAlign w:val="bottom"/>
            <w:tcBorders>
              <w:top w:val="single" w:sz="8" w:color="0000FF"/>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60" w:type="dxa"/>
            <w:vAlign w:val="bottom"/>
            <w:tcBorders>
              <w:top w:val="single" w:sz="8" w:color="0000FF"/>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80" w:type="dxa"/>
            <w:vAlign w:val="bottom"/>
            <w:gridSpan w:val="2"/>
            <w:vMerge w:val="restart"/>
          </w:tcPr>
          <w:p>
            <w:pPr>
              <w:jc w:val="right"/>
              <w:spacing w:after="0" w:line="615" w:lineRule="exact"/>
              <w:rPr>
                <w:sz w:val="20"/>
                <w:szCs w:val="20"/>
                <w:color w:val="auto"/>
              </w:rPr>
            </w:pPr>
            <w:r>
              <w:rPr>
                <w:rFonts w:ascii="Times New Roman" w:cs="Times New Roman" w:eastAsia="Times New Roman" w:hAnsi="Times New Roman"/>
                <w:sz w:val="58"/>
                <w:szCs w:val="58"/>
                <w:color w:val="auto"/>
              </w:rPr>
              <w:t>3</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Audit Related Matters</w:t>
            </w:r>
          </w:p>
        </w:tc>
        <w:tc>
          <w:tcPr>
            <w:tcW w:w="1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6360" w:type="dxa"/>
            <w:vAlign w:val="bottom"/>
            <w:gridSpan w:val="15"/>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6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Fees and Services of the Company's Independent Auditors</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600" w:type="dxa"/>
            <w:vAlign w:val="bottom"/>
            <w:tcBorders>
              <w:top w:val="single" w:sz="8" w:color="0000FF"/>
              <w:bottom w:val="single" w:sz="8" w:color="auto"/>
            </w:tcBorders>
          </w:tcPr>
          <w:p>
            <w:pPr>
              <w:spacing w:after="0"/>
              <w:rPr>
                <w:sz w:val="8"/>
                <w:szCs w:val="8"/>
                <w:color w:val="auto"/>
              </w:rPr>
            </w:pPr>
          </w:p>
        </w:tc>
        <w:tc>
          <w:tcPr>
            <w:tcW w:w="42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320" w:type="dxa"/>
            <w:vAlign w:val="bottom"/>
            <w:tcBorders>
              <w:top w:val="single" w:sz="8" w:color="0000FF"/>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140" w:type="dxa"/>
            <w:vAlign w:val="bottom"/>
            <w:tcBorders>
              <w:top w:val="single" w:sz="8" w:color="0000FF"/>
              <w:bottom w:val="single" w:sz="8" w:color="auto"/>
            </w:tcBorders>
          </w:tcPr>
          <w:p>
            <w:pPr>
              <w:spacing w:after="0"/>
              <w:rPr>
                <w:sz w:val="8"/>
                <w:szCs w:val="8"/>
                <w:color w:val="auto"/>
              </w:rPr>
            </w:pPr>
          </w:p>
        </w:tc>
        <w:tc>
          <w:tcPr>
            <w:tcW w:w="180" w:type="dxa"/>
            <w:vAlign w:val="bottom"/>
            <w:tcBorders>
              <w:top w:val="single" w:sz="8" w:color="0000FF"/>
              <w:bottom w:val="single" w:sz="8" w:color="auto"/>
            </w:tcBorders>
          </w:tcPr>
          <w:p>
            <w:pPr>
              <w:spacing w:after="0"/>
              <w:rPr>
                <w:sz w:val="8"/>
                <w:szCs w:val="8"/>
                <w:color w:val="auto"/>
              </w:rPr>
            </w:pPr>
          </w:p>
        </w:tc>
        <w:tc>
          <w:tcPr>
            <w:tcW w:w="18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280" w:type="dxa"/>
            <w:vAlign w:val="bottom"/>
            <w:tcBorders>
              <w:top w:val="single" w:sz="8" w:color="0000FF"/>
              <w:bottom w:val="single" w:sz="8" w:color="auto"/>
            </w:tcBorders>
          </w:tcPr>
          <w:p>
            <w:pPr>
              <w:spacing w:after="0"/>
              <w:rPr>
                <w:sz w:val="8"/>
                <w:szCs w:val="8"/>
                <w:color w:val="auto"/>
              </w:rPr>
            </w:pPr>
          </w:p>
        </w:tc>
        <w:tc>
          <w:tcPr>
            <w:tcW w:w="140" w:type="dxa"/>
            <w:vAlign w:val="bottom"/>
            <w:tcBorders>
              <w:top w:val="single" w:sz="8" w:color="0000FF"/>
              <w:bottom w:val="single" w:sz="8" w:color="auto"/>
            </w:tcBorders>
          </w:tcPr>
          <w:p>
            <w:pPr>
              <w:spacing w:after="0"/>
              <w:rPr>
                <w:sz w:val="8"/>
                <w:szCs w:val="8"/>
                <w:color w:val="auto"/>
              </w:rPr>
            </w:pPr>
          </w:p>
        </w:tc>
        <w:tc>
          <w:tcPr>
            <w:tcW w:w="940" w:type="dxa"/>
            <w:vAlign w:val="bottom"/>
            <w:tcBorders>
              <w:top w:val="single" w:sz="8" w:color="0000FF"/>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Board of Directors</w:t>
            </w:r>
          </w:p>
        </w:tc>
        <w:tc>
          <w:tcPr>
            <w:tcW w:w="6800" w:type="dxa"/>
            <w:vAlign w:val="bottom"/>
            <w:gridSpan w:val="21"/>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58"/>
                <w:szCs w:val="58"/>
                <w:color w:val="auto"/>
              </w:rPr>
              <w:t>4</w:t>
            </w:r>
          </w:p>
        </w:tc>
        <w:tc>
          <w:tcPr>
            <w:tcW w:w="2060" w:type="dxa"/>
            <w:vAlign w:val="bottom"/>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Committees of the Board</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vMerge w:val="continue"/>
          </w:tcPr>
          <w:p>
            <w:pPr>
              <w:spacing w:after="0" w:line="20" w:lineRule="exact"/>
              <w:rPr>
                <w:sz w:val="1"/>
                <w:szCs w:val="1"/>
                <w:color w:val="auto"/>
              </w:rPr>
            </w:pP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and</w:t>
            </w: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Board and Committee Evaluations</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Its Committees</w:t>
            </w:r>
          </w:p>
        </w:tc>
        <w:tc>
          <w:tcPr>
            <w:tcW w:w="110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Risk Oversight</w:t>
            </w:r>
          </w:p>
        </w:tc>
        <w:tc>
          <w:tcPr>
            <w:tcW w:w="1380" w:type="dxa"/>
            <w:vAlign w:val="bottom"/>
            <w:tcBorders>
              <w:top w:val="single" w:sz="8" w:color="0000FF"/>
            </w:tcBorders>
            <w:gridSpan w:val="11"/>
            <w:vMerge w:val="restart"/>
          </w:tcPr>
          <w:p>
            <w:pPr>
              <w:spacing w:after="0"/>
              <w:rPr>
                <w:sz w:val="18"/>
                <w:szCs w:val="18"/>
                <w:color w:val="auto"/>
              </w:rPr>
            </w:pPr>
          </w:p>
        </w:tc>
        <w:tc>
          <w:tcPr>
            <w:tcW w:w="5700" w:type="dxa"/>
            <w:vAlign w:val="bottom"/>
            <w:gridSpan w:val="12"/>
            <w:vMerge w:val="restart"/>
          </w:tcPr>
          <w:p>
            <w:pPr>
              <w:spacing w:after="0"/>
              <w:rPr>
                <w:sz w:val="18"/>
                <w:szCs w:val="18"/>
                <w:color w:val="auto"/>
              </w:rPr>
            </w:pPr>
          </w:p>
        </w:tc>
        <w:tc>
          <w:tcPr>
            <w:tcW w:w="140" w:type="dxa"/>
            <w:vAlign w:val="bottom"/>
            <w:tcBorders>
              <w:top w:val="single" w:sz="8" w:color="0000FF"/>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18</w:t>
            </w:r>
          </w:p>
        </w:tc>
        <w:tc>
          <w:tcPr>
            <w:tcW w:w="1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00" w:type="dxa"/>
            <w:vAlign w:val="bottom"/>
            <w:tcBorders>
              <w:bottom w:val="single" w:sz="8" w:color="0000FF"/>
            </w:tcBorders>
            <w:gridSpan w:val="3"/>
            <w:vMerge w:val="continue"/>
          </w:tcPr>
          <w:p>
            <w:pPr>
              <w:spacing w:after="0"/>
              <w:rPr>
                <w:sz w:val="13"/>
                <w:szCs w:val="13"/>
                <w:color w:val="auto"/>
              </w:rPr>
            </w:pPr>
          </w:p>
        </w:tc>
        <w:tc>
          <w:tcPr>
            <w:tcW w:w="1380" w:type="dxa"/>
            <w:vAlign w:val="bottom"/>
            <w:gridSpan w:val="11"/>
            <w:vMerge w:val="continue"/>
          </w:tcPr>
          <w:p>
            <w:pPr>
              <w:spacing w:after="0"/>
              <w:rPr>
                <w:sz w:val="13"/>
                <w:szCs w:val="13"/>
                <w:color w:val="auto"/>
              </w:rPr>
            </w:pPr>
          </w:p>
        </w:tc>
        <w:tc>
          <w:tcPr>
            <w:tcW w:w="5700" w:type="dxa"/>
            <w:vAlign w:val="bottom"/>
            <w:gridSpan w:val="12"/>
            <w:vMerge w:val="continue"/>
          </w:tcPr>
          <w:p>
            <w:pPr>
              <w:spacing w:after="0"/>
              <w:rPr>
                <w:sz w:val="13"/>
                <w:szCs w:val="13"/>
                <w:color w:val="auto"/>
              </w:rPr>
            </w:pPr>
          </w:p>
        </w:tc>
        <w:tc>
          <w:tcPr>
            <w:tcW w:w="140" w:type="dxa"/>
            <w:vAlign w:val="bottom"/>
            <w:tcBorders>
              <w:bottom w:val="single" w:sz="8" w:color="0000FF"/>
            </w:tcBorders>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600" w:type="dxa"/>
            <w:vAlign w:val="bottom"/>
            <w:tcBorders>
              <w:top w:val="single" w:sz="8" w:color="0000FF"/>
              <w:bottom w:val="single" w:sz="8" w:color="auto"/>
            </w:tcBorders>
          </w:tcPr>
          <w:p>
            <w:pPr>
              <w:spacing w:after="0"/>
              <w:rPr>
                <w:sz w:val="8"/>
                <w:szCs w:val="8"/>
                <w:color w:val="auto"/>
              </w:rPr>
            </w:pPr>
          </w:p>
        </w:tc>
        <w:tc>
          <w:tcPr>
            <w:tcW w:w="42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80" w:type="dxa"/>
            <w:vAlign w:val="bottom"/>
            <w:gridSpan w:val="2"/>
            <w:vMerge w:val="restart"/>
          </w:tcPr>
          <w:p>
            <w:pPr>
              <w:jc w:val="right"/>
              <w:spacing w:after="0" w:line="601" w:lineRule="exact"/>
              <w:rPr>
                <w:sz w:val="20"/>
                <w:szCs w:val="20"/>
                <w:color w:val="auto"/>
              </w:rPr>
            </w:pPr>
            <w:r>
              <w:rPr>
                <w:rFonts w:ascii="Times New Roman" w:cs="Times New Roman" w:eastAsia="Times New Roman" w:hAnsi="Times New Roman"/>
                <w:sz w:val="58"/>
                <w:szCs w:val="58"/>
                <w:color w:val="auto"/>
              </w:rPr>
              <w:t>5</w:t>
            </w:r>
          </w:p>
        </w:tc>
        <w:tc>
          <w:tcPr>
            <w:tcW w:w="2060" w:type="dxa"/>
            <w:vAlign w:val="bottom"/>
          </w:tcPr>
          <w:p>
            <w:pPr>
              <w:spacing w:after="0"/>
              <w:rPr>
                <w:sz w:val="21"/>
                <w:szCs w:val="21"/>
                <w:color w:val="auto"/>
              </w:rPr>
            </w:pPr>
          </w:p>
        </w:tc>
        <w:tc>
          <w:tcPr>
            <w:tcW w:w="31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Governance Trends and Director Education</w:t>
            </w:r>
          </w:p>
        </w:tc>
        <w:tc>
          <w:tcPr>
            <w:tcW w:w="5040" w:type="dxa"/>
            <w:vAlign w:val="bottom"/>
            <w:gridSpan w:val="8"/>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680" w:type="dxa"/>
            <w:vAlign w:val="bottom"/>
            <w:gridSpan w:val="2"/>
            <w:vMerge w:val="continue"/>
          </w:tcPr>
          <w:p>
            <w:pPr>
              <w:spacing w:after="0"/>
              <w:rPr>
                <w:sz w:val="24"/>
                <w:szCs w:val="24"/>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2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Corporate Governance Practices</w:t>
            </w:r>
          </w:p>
        </w:tc>
        <w:tc>
          <w:tcPr>
            <w:tcW w:w="5840" w:type="dxa"/>
            <w:vAlign w:val="bottom"/>
            <w:gridSpan w:val="13"/>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and Stock Ownership</w:t>
            </w:r>
          </w:p>
        </w:tc>
        <w:tc>
          <w:tcPr>
            <w:tcW w:w="81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Ownership of Our Stock</w:t>
            </w:r>
          </w:p>
        </w:tc>
        <w:tc>
          <w:tcPr>
            <w:tcW w:w="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180" w:type="dxa"/>
            <w:vAlign w:val="bottom"/>
            <w:gridSpan w:val="26"/>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600" w:type="dxa"/>
            <w:vAlign w:val="bottom"/>
            <w:tcBorders>
              <w:top w:val="single" w:sz="8" w:color="0000FF"/>
              <w:bottom w:val="single" w:sz="8" w:color="auto"/>
            </w:tcBorders>
          </w:tcPr>
          <w:p>
            <w:pPr>
              <w:spacing w:after="0"/>
              <w:rPr>
                <w:sz w:val="8"/>
                <w:szCs w:val="8"/>
                <w:color w:val="auto"/>
              </w:rPr>
            </w:pPr>
          </w:p>
        </w:tc>
        <w:tc>
          <w:tcPr>
            <w:tcW w:w="42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58"/>
                <w:szCs w:val="58"/>
                <w:color w:val="auto"/>
              </w:rPr>
              <w:t>6</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Our Engaging Culture</w:t>
            </w:r>
          </w:p>
        </w:tc>
        <w:tc>
          <w:tcPr>
            <w:tcW w:w="7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Communications with the Board, Stockholders, Financial Community and Other Interested Parties</w:t>
            </w:r>
          </w:p>
        </w:tc>
        <w:tc>
          <w:tcPr>
            <w:tcW w:w="10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25</w:t>
            </w:r>
          </w:p>
        </w:tc>
        <w:tc>
          <w:tcPr>
            <w:tcW w:w="1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00" w:type="dxa"/>
            <w:vAlign w:val="bottom"/>
            <w:tcBorders>
              <w:bottom w:val="single" w:sz="8" w:color="auto"/>
            </w:tcBorders>
            <w:vMerge w:val="continue"/>
          </w:tcPr>
          <w:p>
            <w:pPr>
              <w:spacing w:after="0"/>
              <w:rPr>
                <w:sz w:val="23"/>
                <w:szCs w:val="23"/>
                <w:color w:val="auto"/>
              </w:rPr>
            </w:pPr>
          </w:p>
        </w:tc>
        <w:tc>
          <w:tcPr>
            <w:tcW w:w="2060" w:type="dxa"/>
            <w:vAlign w:val="bottom"/>
            <w:tcBorders>
              <w:bottom w:val="single" w:sz="8" w:color="auto"/>
            </w:tcBorders>
            <w:vMerge w:val="continue"/>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gridSpan w:val="2"/>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2023 Stock and Incentive Compensation Plan</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180" w:type="dxa"/>
            <w:vAlign w:val="bottom"/>
            <w:tcBorders>
              <w:right w:val="single" w:sz="8" w:color="0000FF"/>
            </w:tcBorders>
            <w:gridSpan w:val="3"/>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Report of the Compensation Committee on Compensation Discussion and Analysis</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58"/>
                <w:szCs w:val="58"/>
                <w:color w:val="auto"/>
              </w:rPr>
              <w:t>7</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c>
          <w:tcPr>
            <w:tcW w:w="28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3140" w:type="dxa"/>
            <w:vAlign w:val="bottom"/>
            <w:tcBorders>
              <w:top w:val="single" w:sz="8" w:color="0000FF"/>
            </w:tcBorders>
            <w:gridSpan w:val="6"/>
          </w:tcPr>
          <w:p>
            <w:pPr>
              <w:spacing w:after="0"/>
              <w:rPr>
                <w:sz w:val="24"/>
                <w:szCs w:val="24"/>
                <w:color w:val="auto"/>
              </w:rPr>
            </w:pPr>
          </w:p>
        </w:tc>
        <w:tc>
          <w:tcPr>
            <w:tcW w:w="2180" w:type="dxa"/>
            <w:vAlign w:val="bottom"/>
            <w:gridSpan w:val="3"/>
          </w:tcPr>
          <w:p>
            <w:pPr>
              <w:spacing w:after="0"/>
              <w:rPr>
                <w:sz w:val="24"/>
                <w:szCs w:val="24"/>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1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1040" w:type="dxa"/>
            <w:vAlign w:val="bottom"/>
            <w:gridSpan w:val="6"/>
          </w:tcPr>
          <w:p>
            <w:pPr>
              <w:spacing w:after="0"/>
              <w:rPr>
                <w:sz w:val="24"/>
                <w:szCs w:val="24"/>
                <w:color w:val="auto"/>
              </w:rPr>
            </w:pPr>
          </w:p>
        </w:tc>
        <w:tc>
          <w:tcPr>
            <w:tcW w:w="1600" w:type="dxa"/>
            <w:vAlign w:val="bottom"/>
            <w:gridSpan w:val="4"/>
          </w:tcPr>
          <w:p>
            <w:pPr>
              <w:spacing w:after="0"/>
              <w:rPr>
                <w:sz w:val="24"/>
                <w:szCs w:val="24"/>
                <w:color w:val="auto"/>
              </w:rPr>
            </w:pPr>
          </w:p>
        </w:tc>
        <w:tc>
          <w:tcPr>
            <w:tcW w:w="3720" w:type="dxa"/>
            <w:vAlign w:val="bottom"/>
            <w:gridSpan w:val="5"/>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5340" w:type="dxa"/>
            <w:vAlign w:val="bottom"/>
            <w:gridSpan w:val="10"/>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600" w:type="dxa"/>
            <w:vAlign w:val="bottom"/>
            <w:tcBorders>
              <w:top w:val="single" w:sz="8" w:color="0000FF"/>
              <w:bottom w:val="single" w:sz="8" w:color="auto"/>
            </w:tcBorders>
          </w:tcPr>
          <w:p>
            <w:pPr>
              <w:spacing w:after="0"/>
              <w:rPr>
                <w:sz w:val="11"/>
                <w:szCs w:val="11"/>
                <w:color w:val="auto"/>
              </w:rPr>
            </w:pPr>
          </w:p>
        </w:tc>
        <w:tc>
          <w:tcPr>
            <w:tcW w:w="42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20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40" w:type="dxa"/>
            <w:vAlign w:val="bottom"/>
            <w:tcBorders>
              <w:top w:val="single" w:sz="8" w:color="0000FF"/>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10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40" w:type="dxa"/>
            <w:vAlign w:val="bottom"/>
            <w:tcBorders>
              <w:top w:val="single" w:sz="8" w:color="0000FF"/>
              <w:bottom w:val="single" w:sz="8" w:color="auto"/>
            </w:tcBorders>
          </w:tcPr>
          <w:p>
            <w:pPr>
              <w:spacing w:after="0"/>
              <w:rPr>
                <w:sz w:val="11"/>
                <w:szCs w:val="11"/>
                <w:color w:val="auto"/>
              </w:rPr>
            </w:pPr>
          </w:p>
        </w:tc>
        <w:tc>
          <w:tcPr>
            <w:tcW w:w="320" w:type="dxa"/>
            <w:vAlign w:val="bottom"/>
            <w:tcBorders>
              <w:top w:val="single" w:sz="8" w:color="0000FF"/>
              <w:bottom w:val="single" w:sz="8" w:color="auto"/>
            </w:tcBorders>
          </w:tcPr>
          <w:p>
            <w:pPr>
              <w:spacing w:after="0"/>
              <w:rPr>
                <w:sz w:val="11"/>
                <w:szCs w:val="11"/>
                <w:color w:val="auto"/>
              </w:rPr>
            </w:pPr>
          </w:p>
        </w:tc>
        <w:tc>
          <w:tcPr>
            <w:tcW w:w="200" w:type="dxa"/>
            <w:vAlign w:val="bottom"/>
            <w:tcBorders>
              <w:top w:val="single" w:sz="8" w:color="0000FF"/>
              <w:bottom w:val="single" w:sz="8" w:color="auto"/>
            </w:tcBorders>
          </w:tcPr>
          <w:p>
            <w:pPr>
              <w:spacing w:after="0"/>
              <w:rPr>
                <w:sz w:val="11"/>
                <w:szCs w:val="11"/>
                <w:color w:val="auto"/>
              </w:rPr>
            </w:pPr>
          </w:p>
        </w:tc>
        <w:tc>
          <w:tcPr>
            <w:tcW w:w="140" w:type="dxa"/>
            <w:vAlign w:val="bottom"/>
            <w:tcBorders>
              <w:top w:val="single" w:sz="8" w:color="0000FF"/>
              <w:bottom w:val="single" w:sz="8" w:color="auto"/>
            </w:tcBorders>
          </w:tcPr>
          <w:p>
            <w:pPr>
              <w:spacing w:after="0"/>
              <w:rPr>
                <w:sz w:val="11"/>
                <w:szCs w:val="11"/>
                <w:color w:val="auto"/>
              </w:rPr>
            </w:pPr>
          </w:p>
        </w:tc>
        <w:tc>
          <w:tcPr>
            <w:tcW w:w="180" w:type="dxa"/>
            <w:vAlign w:val="bottom"/>
            <w:tcBorders>
              <w:top w:val="single" w:sz="8" w:color="0000FF"/>
              <w:bottom w:val="single" w:sz="8" w:color="auto"/>
            </w:tcBorders>
          </w:tcPr>
          <w:p>
            <w:pPr>
              <w:spacing w:after="0"/>
              <w:rPr>
                <w:sz w:val="11"/>
                <w:szCs w:val="11"/>
                <w:color w:val="auto"/>
              </w:rPr>
            </w:pPr>
          </w:p>
        </w:tc>
        <w:tc>
          <w:tcPr>
            <w:tcW w:w="180" w:type="dxa"/>
            <w:vAlign w:val="bottom"/>
            <w:tcBorders>
              <w:top w:val="single" w:sz="8" w:color="0000FF"/>
              <w:bottom w:val="single" w:sz="8" w:color="auto"/>
            </w:tcBorders>
          </w:tcPr>
          <w:p>
            <w:pPr>
              <w:spacing w:after="0"/>
              <w:rPr>
                <w:sz w:val="11"/>
                <w:szCs w:val="11"/>
                <w:color w:val="auto"/>
              </w:rPr>
            </w:pPr>
          </w:p>
        </w:tc>
        <w:tc>
          <w:tcPr>
            <w:tcW w:w="20" w:type="dxa"/>
            <w:vAlign w:val="bottom"/>
            <w:tcBorders>
              <w:top w:val="single" w:sz="8" w:color="0000FF"/>
              <w:bottom w:val="single" w:sz="8" w:color="auto"/>
            </w:tcBorders>
          </w:tcPr>
          <w:p>
            <w:pPr>
              <w:spacing w:after="0"/>
              <w:rPr>
                <w:sz w:val="11"/>
                <w:szCs w:val="11"/>
                <w:color w:val="auto"/>
              </w:rPr>
            </w:pPr>
          </w:p>
        </w:tc>
        <w:tc>
          <w:tcPr>
            <w:tcW w:w="280" w:type="dxa"/>
            <w:vAlign w:val="bottom"/>
            <w:tcBorders>
              <w:top w:val="single" w:sz="8" w:color="0000FF"/>
              <w:bottom w:val="single" w:sz="8" w:color="auto"/>
            </w:tcBorders>
          </w:tcPr>
          <w:p>
            <w:pPr>
              <w:spacing w:after="0"/>
              <w:rPr>
                <w:sz w:val="11"/>
                <w:szCs w:val="11"/>
                <w:color w:val="auto"/>
              </w:rPr>
            </w:pPr>
          </w:p>
        </w:tc>
        <w:tc>
          <w:tcPr>
            <w:tcW w:w="140" w:type="dxa"/>
            <w:vAlign w:val="bottom"/>
            <w:tcBorders>
              <w:top w:val="single" w:sz="8" w:color="0000FF"/>
              <w:bottom w:val="single" w:sz="8" w:color="auto"/>
            </w:tcBorders>
          </w:tcPr>
          <w:p>
            <w:pPr>
              <w:spacing w:after="0"/>
              <w:rPr>
                <w:sz w:val="11"/>
                <w:szCs w:val="11"/>
                <w:color w:val="auto"/>
              </w:rPr>
            </w:pPr>
          </w:p>
        </w:tc>
        <w:tc>
          <w:tcPr>
            <w:tcW w:w="940" w:type="dxa"/>
            <w:vAlign w:val="bottom"/>
            <w:tcBorders>
              <w:top w:val="single" w:sz="8" w:color="0000FF"/>
              <w:bottom w:val="single" w:sz="8" w:color="auto"/>
            </w:tcBorders>
          </w:tcPr>
          <w:p>
            <w:pPr>
              <w:spacing w:after="0"/>
              <w:rPr>
                <w:sz w:val="11"/>
                <w:szCs w:val="11"/>
                <w:color w:val="auto"/>
              </w:rPr>
            </w:pPr>
          </w:p>
        </w:tc>
        <w:tc>
          <w:tcPr>
            <w:tcW w:w="240" w:type="dxa"/>
            <w:vAlign w:val="bottom"/>
            <w:tcBorders>
              <w:top w:val="single" w:sz="8" w:color="0000FF"/>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top w:val="single" w:sz="8" w:color="0000FF"/>
              <w:bottom w:val="single" w:sz="8" w:color="auto"/>
            </w:tcBorders>
          </w:tcPr>
          <w:p>
            <w:pPr>
              <w:spacing w:after="0"/>
              <w:rPr>
                <w:sz w:val="11"/>
                <w:szCs w:val="11"/>
                <w:color w:val="auto"/>
              </w:rPr>
            </w:pPr>
          </w:p>
        </w:tc>
        <w:tc>
          <w:tcPr>
            <w:tcW w:w="60" w:type="dxa"/>
            <w:vAlign w:val="bottom"/>
            <w:tcBorders>
              <w:top w:val="single" w:sz="8" w:color="0000FF"/>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Quorum</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40" w:type="dxa"/>
            <w:vAlign w:val="bottom"/>
            <w:tcBorders>
              <w:right w:val="single" w:sz="8" w:color="0000FF"/>
            </w:tcBorders>
            <w:gridSpan w:val="14"/>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Soliciting Proxies</w:t>
            </w:r>
          </w:p>
        </w:tc>
        <w:tc>
          <w:tcPr>
            <w:tcW w:w="6880" w:type="dxa"/>
            <w:vAlign w:val="bottom"/>
            <w:gridSpan w:val="22"/>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58"/>
                <w:szCs w:val="58"/>
                <w:color w:val="auto"/>
              </w:rPr>
              <w:t>8</w:t>
            </w:r>
          </w:p>
        </w:tc>
        <w:tc>
          <w:tcPr>
            <w:tcW w:w="2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Other Important</w:t>
            </w: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Revoking a Proxy</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80" w:type="dxa"/>
            <w:vAlign w:val="bottom"/>
            <w:gridSpan w:val="2"/>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680" w:type="dxa"/>
            <w:vAlign w:val="bottom"/>
            <w:gridSpan w:val="2"/>
            <w:vMerge w:val="continue"/>
          </w:tcPr>
          <w:p>
            <w:pPr>
              <w:spacing w:after="0"/>
              <w:rPr>
                <w:sz w:val="20"/>
                <w:szCs w:val="20"/>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8"/>
              </w:rPr>
              <w:t>Householding</w:t>
            </w:r>
          </w:p>
        </w:tc>
        <w:tc>
          <w:tcPr>
            <w:tcW w:w="7160" w:type="dxa"/>
            <w:vAlign w:val="bottom"/>
            <w:gridSpan w:val="24"/>
            <w:vMerge w:val="restart"/>
          </w:tcPr>
          <w:p>
            <w:pPr>
              <w:spacing w:after="0"/>
              <w:rPr>
                <w:sz w:val="20"/>
                <w:szCs w:val="20"/>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c>
          <w:tcPr>
            <w:tcW w:w="12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680" w:type="dxa"/>
            <w:vAlign w:val="bottom"/>
            <w:gridSpan w:val="2"/>
            <w:vMerge w:val="continue"/>
          </w:tcPr>
          <w:p>
            <w:pPr>
              <w:spacing w:after="0"/>
              <w:rPr>
                <w:sz w:val="3"/>
                <w:szCs w:val="3"/>
                <w:color w:val="auto"/>
              </w:rPr>
            </w:pPr>
          </w:p>
        </w:tc>
        <w:tc>
          <w:tcPr>
            <w:tcW w:w="2060" w:type="dxa"/>
            <w:vAlign w:val="bottom"/>
          </w:tcPr>
          <w:p>
            <w:pPr>
              <w:spacing w:after="0"/>
              <w:rPr>
                <w:sz w:val="3"/>
                <w:szCs w:val="3"/>
                <w:color w:val="auto"/>
              </w:rPr>
            </w:pPr>
          </w:p>
        </w:tc>
        <w:tc>
          <w:tcPr>
            <w:tcW w:w="1020" w:type="dxa"/>
            <w:vAlign w:val="bottom"/>
            <w:tcBorders>
              <w:bottom w:val="single" w:sz="8" w:color="0000FF"/>
            </w:tcBorders>
            <w:gridSpan w:val="2"/>
            <w:vMerge w:val="continue"/>
          </w:tcPr>
          <w:p>
            <w:pPr>
              <w:spacing w:after="0"/>
              <w:rPr>
                <w:sz w:val="3"/>
                <w:szCs w:val="3"/>
                <w:color w:val="auto"/>
              </w:rPr>
            </w:pPr>
          </w:p>
        </w:tc>
        <w:tc>
          <w:tcPr>
            <w:tcW w:w="7160" w:type="dxa"/>
            <w:vAlign w:val="bottom"/>
            <w:gridSpan w:val="24"/>
            <w:vMerge w:val="continue"/>
          </w:tcPr>
          <w:p>
            <w:pPr>
              <w:spacing w:after="0"/>
              <w:rPr>
                <w:sz w:val="3"/>
                <w:szCs w:val="3"/>
                <w:color w:val="auto"/>
              </w:rPr>
            </w:pPr>
          </w:p>
        </w:tc>
        <w:tc>
          <w:tcPr>
            <w:tcW w:w="140" w:type="dxa"/>
            <w:vAlign w:val="bottom"/>
            <w:tcBorders>
              <w:bottom w:val="single" w:sz="8" w:color="0000FF"/>
            </w:tcBorders>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6040" w:type="dxa"/>
            <w:vAlign w:val="bottom"/>
            <w:gridSpan w:val="14"/>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1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Annual Report on Form 10-K</w:t>
            </w:r>
          </w:p>
        </w:tc>
        <w:tc>
          <w:tcPr>
            <w:tcW w:w="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w w:val="77"/>
              </w:rPr>
              <w:t>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600" w:type="dxa"/>
            <w:vAlign w:val="bottom"/>
            <w:tcBorders>
              <w:top w:val="single" w:sz="8" w:color="0000FF"/>
              <w:bottom w:val="single" w:sz="8" w:color="auto"/>
            </w:tcBorders>
          </w:tcPr>
          <w:p>
            <w:pPr>
              <w:spacing w:after="0"/>
              <w:rPr>
                <w:sz w:val="8"/>
                <w:szCs w:val="8"/>
                <w:color w:val="auto"/>
              </w:rPr>
            </w:pPr>
          </w:p>
        </w:tc>
        <w:tc>
          <w:tcPr>
            <w:tcW w:w="42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2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320" w:type="dxa"/>
            <w:vAlign w:val="bottom"/>
            <w:tcBorders>
              <w:top w:val="single" w:sz="8" w:color="0000FF"/>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8"/>
        </w:trPr>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36"/>
          <w:szCs w:val="36"/>
          <w:b w:val="1"/>
          <w:bCs w:val="1"/>
          <w:color w:val="00497F"/>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0123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2305" cy="17145"/>
                    </a:xfrm>
                    <a:prstGeom prst="rect">
                      <a:avLst/>
                    </a:prstGeom>
                    <a:noFill/>
                  </pic:spPr>
                </pic:pic>
              </a:graphicData>
            </a:graphic>
          </wp:anchor>
        </w:drawing>
      </w: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i w:val="1"/>
          <w:iCs w:val="1"/>
          <w:color w:val="auto"/>
        </w:rPr>
        <w:t>Terms, abbreviations and acronyms, as used in this Proxy Statement.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 w:type="dxa"/>
            <w:vAlign w:val="bottom"/>
          </w:tcPr>
          <w:p>
            <w:pPr>
              <w:spacing w:after="0"/>
              <w:rPr>
                <w:sz w:val="17"/>
                <w:szCs w:val="17"/>
                <w:color w:val="auto"/>
              </w:rPr>
            </w:pPr>
          </w:p>
        </w:tc>
        <w:tc>
          <w:tcPr>
            <w:tcW w:w="3400" w:type="dxa"/>
            <w:vAlign w:val="bottom"/>
            <w:tcBorders>
              <w:top w:val="single" w:sz="8" w:color="DDDDDD"/>
            </w:tcBorders>
          </w:tcPr>
          <w:p>
            <w:pPr>
              <w:spacing w:after="0" w:line="199" w:lineRule="exact"/>
              <w:rPr>
                <w:sz w:val="20"/>
                <w:szCs w:val="20"/>
                <w:color w:val="auto"/>
              </w:rPr>
            </w:pPr>
            <w:r>
              <w:rPr>
                <w:rFonts w:ascii="Times New Roman" w:cs="Times New Roman" w:eastAsia="Times New Roman" w:hAnsi="Times New Roman"/>
                <w:sz w:val="22"/>
                <w:szCs w:val="22"/>
                <w:b w:val="1"/>
                <w:bCs w:val="1"/>
                <w:color w:val="auto"/>
              </w:rPr>
              <w:t>2015 Cash Plan:</w:t>
            </w:r>
          </w:p>
        </w:tc>
        <w:tc>
          <w:tcPr>
            <w:tcW w:w="7700" w:type="dxa"/>
            <w:vAlign w:val="bottom"/>
            <w:tcBorders>
              <w:top w:val="single" w:sz="8" w:color="DDDDDD"/>
            </w:tcBorders>
          </w:tcPr>
          <w:p>
            <w:pPr>
              <w:ind w:left="200"/>
              <w:spacing w:after="0" w:line="199" w:lineRule="exact"/>
              <w:rPr>
                <w:sz w:val="20"/>
                <w:szCs w:val="20"/>
                <w:color w:val="auto"/>
              </w:rPr>
            </w:pPr>
            <w:r>
              <w:rPr>
                <w:rFonts w:ascii="Times New Roman" w:cs="Times New Roman" w:eastAsia="Times New Roman" w:hAnsi="Times New Roman"/>
                <w:sz w:val="18"/>
                <w:szCs w:val="18"/>
                <w:color w:val="auto"/>
              </w:rPr>
              <w:t>The Chesapeake Utilities Corporation Short-Term Incentive Compensation Plan (previously, the Cash</w:t>
            </w:r>
          </w:p>
        </w:tc>
        <w:tc>
          <w:tcPr>
            <w:tcW w:w="60" w:type="dxa"/>
            <w:vAlign w:val="bottom"/>
          </w:tcPr>
          <w:p>
            <w:pPr>
              <w:spacing w:after="0"/>
              <w:rPr>
                <w:sz w:val="17"/>
                <w:szCs w:val="17"/>
                <w:color w:val="auto"/>
              </w:rPr>
            </w:pPr>
          </w:p>
        </w:tc>
      </w:tr>
      <w:tr>
        <w:trPr>
          <w:trHeight w:val="160"/>
        </w:trPr>
        <w:tc>
          <w:tcPr>
            <w:tcW w:w="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76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8"/>
                <w:szCs w:val="18"/>
                <w:color w:val="auto"/>
              </w:rPr>
              <w:t>Bonus  Incentive  Plan)  as  approved  by  our  stockholders  in  May  2015  and  amended  by  the</w:t>
            </w:r>
          </w:p>
        </w:tc>
      </w:tr>
      <w:tr>
        <w:trPr>
          <w:trHeight w:val="239"/>
        </w:trPr>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 Committee of the Board in December 2025</w:t>
            </w:r>
          </w:p>
        </w:tc>
      </w:tr>
      <w:tr>
        <w:trPr>
          <w:trHeight w:val="227"/>
        </w:trPr>
        <w:tc>
          <w:tcPr>
            <w:tcW w:w="80" w:type="dxa"/>
            <w:vAlign w:val="bottom"/>
          </w:tcPr>
          <w:p>
            <w:pPr>
              <w:spacing w:after="0"/>
              <w:rPr>
                <w:sz w:val="19"/>
                <w:szCs w:val="19"/>
                <w:color w:val="auto"/>
              </w:rPr>
            </w:pPr>
          </w:p>
        </w:tc>
        <w:tc>
          <w:tcPr>
            <w:tcW w:w="3400" w:type="dxa"/>
            <w:vAlign w:val="bottom"/>
            <w:tcBorders>
              <w:top w:val="single" w:sz="8" w:color="DDDDDD"/>
            </w:tcBorders>
          </w:tcPr>
          <w:p>
            <w:pPr>
              <w:spacing w:after="0" w:line="227" w:lineRule="exact"/>
              <w:rPr>
                <w:sz w:val="20"/>
                <w:szCs w:val="20"/>
                <w:color w:val="auto"/>
              </w:rPr>
            </w:pPr>
            <w:r>
              <w:rPr>
                <w:rFonts w:ascii="Times New Roman" w:cs="Times New Roman" w:eastAsia="Times New Roman" w:hAnsi="Times New Roman"/>
                <w:sz w:val="22"/>
                <w:szCs w:val="22"/>
                <w:b w:val="1"/>
                <w:bCs w:val="1"/>
                <w:color w:val="auto"/>
              </w:rPr>
              <w:t>2023 Equity Incentive Award(s):</w:t>
            </w:r>
          </w:p>
        </w:tc>
        <w:tc>
          <w:tcPr>
            <w:tcW w:w="7700" w:type="dxa"/>
            <w:vAlign w:val="bottom"/>
            <w:tcBorders>
              <w:top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An equity incentive award granted by the Compensation Committee pursuant to the 2023 SICP for the</w:t>
            </w:r>
          </w:p>
        </w:tc>
        <w:tc>
          <w:tcPr>
            <w:tcW w:w="60" w:type="dxa"/>
            <w:vAlign w:val="bottom"/>
          </w:tcPr>
          <w:p>
            <w:pPr>
              <w:spacing w:after="0"/>
              <w:rPr>
                <w:sz w:val="19"/>
                <w:szCs w:val="19"/>
                <w:color w:val="auto"/>
              </w:rPr>
            </w:pPr>
          </w:p>
        </w:tc>
      </w:tr>
      <w:tr>
        <w:trPr>
          <w:trHeight w:val="189"/>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2023-2025 performance period</w:t>
            </w:r>
          </w:p>
        </w:tc>
      </w:tr>
      <w:tr>
        <w:trPr>
          <w:trHeight w:val="223"/>
        </w:trPr>
        <w:tc>
          <w:tcPr>
            <w:tcW w:w="80" w:type="dxa"/>
            <w:vAlign w:val="bottom"/>
          </w:tcPr>
          <w:p>
            <w:pPr>
              <w:spacing w:after="0"/>
              <w:rPr>
                <w:sz w:val="19"/>
                <w:szCs w:val="19"/>
                <w:color w:val="auto"/>
              </w:rPr>
            </w:pPr>
          </w:p>
        </w:tc>
        <w:tc>
          <w:tcPr>
            <w:tcW w:w="3400" w:type="dxa"/>
            <w:vAlign w:val="bottom"/>
            <w:tcBorders>
              <w:top w:val="single" w:sz="8" w:color="DDDDDD"/>
            </w:tcBorders>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2024 Equity Incentive Award(s):</w:t>
            </w:r>
          </w:p>
        </w:tc>
        <w:tc>
          <w:tcPr>
            <w:tcW w:w="7700" w:type="dxa"/>
            <w:vAlign w:val="bottom"/>
            <w:tcBorders>
              <w:top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An equity incentive award granted by the Compensation Committee pursuant to the 2023 SICP for the</w:t>
            </w:r>
          </w:p>
        </w:tc>
        <w:tc>
          <w:tcPr>
            <w:tcW w:w="60" w:type="dxa"/>
            <w:vAlign w:val="bottom"/>
          </w:tcPr>
          <w:p>
            <w:pPr>
              <w:spacing w:after="0"/>
              <w:rPr>
                <w:sz w:val="19"/>
                <w:szCs w:val="19"/>
                <w:color w:val="auto"/>
              </w:rPr>
            </w:pPr>
          </w:p>
        </w:tc>
      </w:tr>
      <w:tr>
        <w:trPr>
          <w:trHeight w:val="189"/>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2024-2026 performance period</w:t>
            </w:r>
          </w:p>
        </w:tc>
      </w:tr>
      <w:tr>
        <w:trPr>
          <w:trHeight w:val="223"/>
        </w:trPr>
        <w:tc>
          <w:tcPr>
            <w:tcW w:w="80" w:type="dxa"/>
            <w:vAlign w:val="bottom"/>
          </w:tcPr>
          <w:p>
            <w:pPr>
              <w:spacing w:after="0"/>
              <w:rPr>
                <w:sz w:val="19"/>
                <w:szCs w:val="19"/>
                <w:color w:val="auto"/>
              </w:rPr>
            </w:pPr>
          </w:p>
        </w:tc>
        <w:tc>
          <w:tcPr>
            <w:tcW w:w="3400" w:type="dxa"/>
            <w:vAlign w:val="bottom"/>
            <w:tcBorders>
              <w:top w:val="single" w:sz="8" w:color="DDDDDD"/>
            </w:tcBorders>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2025 Equity Incentive Award(s):</w:t>
            </w:r>
          </w:p>
        </w:tc>
        <w:tc>
          <w:tcPr>
            <w:tcW w:w="7700" w:type="dxa"/>
            <w:vAlign w:val="bottom"/>
            <w:tcBorders>
              <w:top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An equity incentive award granted by the Compensation Committee pursuant to the 2023 SICP for the</w:t>
            </w:r>
          </w:p>
        </w:tc>
        <w:tc>
          <w:tcPr>
            <w:tcW w:w="60" w:type="dxa"/>
            <w:vAlign w:val="bottom"/>
          </w:tcPr>
          <w:p>
            <w:pPr>
              <w:spacing w:after="0"/>
              <w:rPr>
                <w:sz w:val="19"/>
                <w:szCs w:val="19"/>
                <w:color w:val="auto"/>
              </w:rPr>
            </w:pPr>
          </w:p>
        </w:tc>
      </w:tr>
      <w:tr>
        <w:trPr>
          <w:trHeight w:val="189"/>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76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2025-2027 performance period</w:t>
            </w:r>
          </w:p>
        </w:tc>
      </w:tr>
      <w:tr>
        <w:trPr>
          <w:trHeight w:val="223"/>
        </w:trPr>
        <w:tc>
          <w:tcPr>
            <w:tcW w:w="80" w:type="dxa"/>
            <w:vAlign w:val="bottom"/>
          </w:tcPr>
          <w:p>
            <w:pPr>
              <w:spacing w:after="0"/>
              <w:rPr>
                <w:sz w:val="19"/>
                <w:szCs w:val="19"/>
                <w:color w:val="auto"/>
              </w:rPr>
            </w:pPr>
          </w:p>
        </w:tc>
        <w:tc>
          <w:tcPr>
            <w:tcW w:w="3400" w:type="dxa"/>
            <w:vAlign w:val="bottom"/>
            <w:tcBorders>
              <w:top w:val="single" w:sz="8" w:color="DDDDDD"/>
            </w:tcBorders>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Adjusted EPS:</w:t>
            </w:r>
          </w:p>
        </w:tc>
        <w:tc>
          <w:tcPr>
            <w:tcW w:w="7700" w:type="dxa"/>
            <w:vAlign w:val="bottom"/>
            <w:tcBorders>
              <w:top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Basic earnings per share (unless otherwise noted) as defined under Generally Accepted Accounting</w:t>
            </w:r>
          </w:p>
        </w:tc>
        <w:tc>
          <w:tcPr>
            <w:tcW w:w="60" w:type="dxa"/>
            <w:vAlign w:val="bottom"/>
          </w:tcPr>
          <w:p>
            <w:pPr>
              <w:spacing w:after="0"/>
              <w:rPr>
                <w:sz w:val="19"/>
                <w:szCs w:val="19"/>
                <w:color w:val="auto"/>
              </w:rPr>
            </w:pPr>
          </w:p>
        </w:tc>
      </w:tr>
      <w:tr>
        <w:trPr>
          <w:trHeight w:val="121"/>
        </w:trPr>
        <w:tc>
          <w:tcPr>
            <w:tcW w:w="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76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color w:val="auto"/>
              </w:rPr>
              <w:t>Principles (GAAP) adjusted to exclude transaction and transition related expenses in connection with</w:t>
            </w:r>
          </w:p>
        </w:tc>
      </w:tr>
      <w:tr>
        <w:trPr>
          <w:trHeight w:val="239"/>
        </w:trPr>
        <w:tc>
          <w:tcPr>
            <w:tcW w:w="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acquisition of FCG</w:t>
            </w:r>
          </w:p>
        </w:tc>
      </w:tr>
      <w:tr>
        <w:trPr>
          <w:trHeight w:val="227"/>
        </w:trPr>
        <w:tc>
          <w:tcPr>
            <w:tcW w:w="80" w:type="dxa"/>
            <w:vAlign w:val="bottom"/>
          </w:tcPr>
          <w:p>
            <w:pPr>
              <w:spacing w:after="0"/>
              <w:rPr>
                <w:sz w:val="19"/>
                <w:szCs w:val="19"/>
                <w:color w:val="auto"/>
              </w:rPr>
            </w:pPr>
          </w:p>
        </w:tc>
        <w:tc>
          <w:tcPr>
            <w:tcW w:w="3400" w:type="dxa"/>
            <w:vAlign w:val="bottom"/>
            <w:tcBorders>
              <w:top w:val="single" w:sz="8" w:color="DDDDDD"/>
            </w:tcBorders>
          </w:tcPr>
          <w:p>
            <w:pPr>
              <w:spacing w:after="0" w:line="227" w:lineRule="exact"/>
              <w:rPr>
                <w:sz w:val="20"/>
                <w:szCs w:val="20"/>
                <w:color w:val="auto"/>
              </w:rPr>
            </w:pPr>
            <w:r>
              <w:rPr>
                <w:rFonts w:ascii="Times New Roman" w:cs="Times New Roman" w:eastAsia="Times New Roman" w:hAnsi="Times New Roman"/>
                <w:sz w:val="22"/>
                <w:szCs w:val="22"/>
                <w:b w:val="1"/>
                <w:bCs w:val="1"/>
                <w:color w:val="auto"/>
              </w:rPr>
              <w:t>Baker Tilly:</w:t>
            </w:r>
          </w:p>
        </w:tc>
        <w:tc>
          <w:tcPr>
            <w:tcW w:w="7700" w:type="dxa"/>
            <w:vAlign w:val="bottom"/>
            <w:tcBorders>
              <w:top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Baker Tilly US, LLP, the Company's independent registered public accounting firm, or our external</w:t>
            </w:r>
          </w:p>
        </w:tc>
        <w:tc>
          <w:tcPr>
            <w:tcW w:w="60" w:type="dxa"/>
            <w:vAlign w:val="bottom"/>
          </w:tcPr>
          <w:p>
            <w:pPr>
              <w:spacing w:after="0"/>
              <w:rPr>
                <w:sz w:val="19"/>
                <w:szCs w:val="19"/>
                <w:color w:val="auto"/>
              </w:rPr>
            </w:pPr>
          </w:p>
        </w:tc>
      </w:tr>
      <w:tr>
        <w:trPr>
          <w:trHeight w:val="189"/>
        </w:trPr>
        <w:tc>
          <w:tcPr>
            <w:tcW w:w="80" w:type="dxa"/>
            <w:vAlign w:val="bottom"/>
          </w:tcPr>
          <w:p>
            <w:pPr>
              <w:spacing w:after="0"/>
              <w:rPr>
                <w:sz w:val="16"/>
                <w:szCs w:val="16"/>
                <w:color w:val="auto"/>
              </w:rPr>
            </w:pPr>
          </w:p>
        </w:tc>
        <w:tc>
          <w:tcPr>
            <w:tcW w:w="3400" w:type="dxa"/>
            <w:vAlign w:val="bottom"/>
            <w:tcBorders>
              <w:bottom w:val="single" w:sz="8" w:color="DDDDDD"/>
            </w:tcBorders>
          </w:tcPr>
          <w:p>
            <w:pPr>
              <w:spacing w:after="0"/>
              <w:rPr>
                <w:sz w:val="16"/>
                <w:szCs w:val="16"/>
                <w:color w:val="auto"/>
              </w:rPr>
            </w:pPr>
          </w:p>
        </w:tc>
        <w:tc>
          <w:tcPr>
            <w:tcW w:w="7700" w:type="dxa"/>
            <w:vAlign w:val="bottom"/>
            <w:tcBorders>
              <w:bottom w:val="single" w:sz="8" w:color="DDDDDD"/>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audit firm</w:t>
            </w:r>
          </w:p>
        </w:tc>
        <w:tc>
          <w:tcPr>
            <w:tcW w:w="60" w:type="dxa"/>
            <w:vAlign w:val="bottom"/>
          </w:tcPr>
          <w:p>
            <w:pPr>
              <w:spacing w:after="0"/>
              <w:rPr>
                <w:sz w:val="16"/>
                <w:szCs w:val="16"/>
                <w:color w:val="auto"/>
              </w:rPr>
            </w:pPr>
          </w:p>
        </w:tc>
      </w:tr>
      <w:tr>
        <w:trPr>
          <w:trHeight w:val="298"/>
        </w:trPr>
        <w:tc>
          <w:tcPr>
            <w:tcW w:w="80" w:type="dxa"/>
            <w:vAlign w:val="bottom"/>
          </w:tcPr>
          <w:p>
            <w:pPr>
              <w:spacing w:after="0"/>
              <w:rPr>
                <w:sz w:val="24"/>
                <w:szCs w:val="24"/>
                <w:color w:val="auto"/>
              </w:rPr>
            </w:pPr>
          </w:p>
        </w:tc>
        <w:tc>
          <w:tcPr>
            <w:tcW w:w="34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Bylaws:</w:t>
            </w: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The Company's Amended and Restated Bylaws, as amended through May 7, 2025</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Board:</w:t>
            </w: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Company's Board of Directors</w:t>
            </w:r>
          </w:p>
        </w:tc>
      </w:tr>
      <w:tr>
        <w:trPr>
          <w:trHeight w:val="304"/>
        </w:trPr>
        <w:tc>
          <w:tcPr>
            <w:tcW w:w="80" w:type="dxa"/>
            <w:vAlign w:val="bottom"/>
          </w:tcPr>
          <w:p>
            <w:pPr>
              <w:spacing w:after="0"/>
              <w:rPr>
                <w:sz w:val="24"/>
                <w:szCs w:val="24"/>
                <w:color w:val="auto"/>
              </w:rPr>
            </w:pPr>
          </w:p>
        </w:tc>
        <w:tc>
          <w:tcPr>
            <w:tcW w:w="3400" w:type="dxa"/>
            <w:vAlign w:val="bottom"/>
            <w:tcBorders>
              <w:top w:val="single" w:sz="8" w:color="DDDDDD"/>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Cash Incentive Award:</w:t>
            </w:r>
          </w:p>
        </w:tc>
        <w:tc>
          <w:tcPr>
            <w:tcW w:w="7700" w:type="dxa"/>
            <w:vAlign w:val="bottom"/>
            <w:tcBorders>
              <w:top w:val="single" w:sz="8" w:color="DDDDDD"/>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A cash incentive award granted by the Compensation Committee pursuant to the 2015 Cash Plan</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CAGR:</w:t>
            </w: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Compound Annual Growth Rate</w:t>
            </w:r>
          </w:p>
        </w:tc>
      </w:tr>
      <w:tr>
        <w:trPr>
          <w:trHeight w:val="203"/>
        </w:trPr>
        <w:tc>
          <w:tcPr>
            <w:tcW w:w="80" w:type="dxa"/>
            <w:vAlign w:val="bottom"/>
          </w:tcPr>
          <w:p>
            <w:pPr>
              <w:spacing w:after="0"/>
              <w:rPr>
                <w:sz w:val="17"/>
                <w:szCs w:val="17"/>
                <w:color w:val="auto"/>
              </w:rPr>
            </w:pPr>
          </w:p>
        </w:tc>
        <w:tc>
          <w:tcPr>
            <w:tcW w:w="3400" w:type="dxa"/>
            <w:vAlign w:val="bottom"/>
            <w:tcBorders>
              <w:top w:val="single" w:sz="8" w:color="DDDDDD"/>
            </w:tcBorders>
          </w:tcPr>
          <w:p>
            <w:pPr>
              <w:spacing w:after="0" w:line="203" w:lineRule="exact"/>
              <w:rPr>
                <w:sz w:val="20"/>
                <w:szCs w:val="20"/>
                <w:color w:val="auto"/>
              </w:rPr>
            </w:pPr>
            <w:r>
              <w:rPr>
                <w:rFonts w:ascii="Times New Roman" w:cs="Times New Roman" w:eastAsia="Times New Roman" w:hAnsi="Times New Roman"/>
                <w:sz w:val="22"/>
                <w:szCs w:val="22"/>
                <w:b w:val="1"/>
                <w:bCs w:val="1"/>
                <w:color w:val="auto"/>
              </w:rPr>
              <w:t>Chesapeake Utilities or Company:</w:t>
            </w:r>
          </w:p>
        </w:tc>
        <w:tc>
          <w:tcPr>
            <w:tcW w:w="7700" w:type="dxa"/>
            <w:vAlign w:val="bottom"/>
            <w:tcBorders>
              <w:top w:val="single" w:sz="8" w:color="DDDDDD"/>
            </w:tcBorders>
          </w:tcPr>
          <w:p>
            <w:pPr>
              <w:ind w:left="200"/>
              <w:spacing w:after="0" w:line="202" w:lineRule="exact"/>
              <w:rPr>
                <w:sz w:val="20"/>
                <w:szCs w:val="20"/>
                <w:color w:val="auto"/>
              </w:rPr>
            </w:pPr>
            <w:r>
              <w:rPr>
                <w:rFonts w:ascii="Times New Roman" w:cs="Times New Roman" w:eastAsia="Times New Roman" w:hAnsi="Times New Roman"/>
                <w:sz w:val="18"/>
                <w:szCs w:val="18"/>
                <w:color w:val="auto"/>
              </w:rPr>
              <w:t>Chesapeake Utilities Corporation, its divisions and subsidiaries, as appropriate in the context of the</w:t>
            </w: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disclosure</w:t>
            </w:r>
          </w:p>
        </w:tc>
      </w:tr>
      <w:tr>
        <w:trPr>
          <w:trHeight w:val="298"/>
        </w:trPr>
        <w:tc>
          <w:tcPr>
            <w:tcW w:w="80" w:type="dxa"/>
            <w:vAlign w:val="bottom"/>
          </w:tcPr>
          <w:p>
            <w:pPr>
              <w:spacing w:after="0"/>
              <w:rPr>
                <w:sz w:val="24"/>
                <w:szCs w:val="24"/>
                <w:color w:val="auto"/>
              </w:rPr>
            </w:pPr>
          </w:p>
        </w:tc>
        <w:tc>
          <w:tcPr>
            <w:tcW w:w="3400" w:type="dxa"/>
            <w:vAlign w:val="bottom"/>
            <w:tcBorders>
              <w:top w:val="single" w:sz="8" w:color="DDDDDD"/>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FW Cook:</w:t>
            </w:r>
          </w:p>
        </w:tc>
        <w:tc>
          <w:tcPr>
            <w:tcW w:w="7700" w:type="dxa"/>
            <w:vAlign w:val="bottom"/>
            <w:tcBorders>
              <w:top w:val="single" w:sz="8" w:color="DDDDDD"/>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Frederic W. Cook &amp; Co., Inc., the Compensation Committee's independent compensation consultant</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Delmarva Peninsula:</w:t>
            </w: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A peninsula on the east coast of the U.S. occupied by Delaware and portions of Maryland and Virginia</w:t>
            </w:r>
          </w:p>
        </w:tc>
        <w:tc>
          <w:tcPr>
            <w:tcW w:w="60" w:type="dxa"/>
            <w:vAlign w:val="bottom"/>
          </w:tcPr>
          <w:p>
            <w:pPr>
              <w:spacing w:after="0"/>
              <w:rPr>
                <w:sz w:val="24"/>
                <w:szCs w:val="24"/>
                <w:color w:val="auto"/>
              </w:rPr>
            </w:pPr>
          </w:p>
        </w:tc>
      </w:tr>
      <w:tr>
        <w:trPr>
          <w:trHeight w:val="191"/>
        </w:trPr>
        <w:tc>
          <w:tcPr>
            <w:tcW w:w="80" w:type="dxa"/>
            <w:vAlign w:val="bottom"/>
          </w:tcPr>
          <w:p>
            <w:pPr>
              <w:spacing w:after="0"/>
              <w:rPr>
                <w:sz w:val="16"/>
                <w:szCs w:val="16"/>
                <w:color w:val="auto"/>
              </w:rPr>
            </w:pPr>
          </w:p>
        </w:tc>
        <w:tc>
          <w:tcPr>
            <w:tcW w:w="3400" w:type="dxa"/>
            <w:vAlign w:val="bottom"/>
          </w:tcPr>
          <w:p>
            <w:pPr>
              <w:spacing w:after="0" w:line="190" w:lineRule="exact"/>
              <w:rPr>
                <w:sz w:val="20"/>
                <w:szCs w:val="20"/>
                <w:color w:val="auto"/>
              </w:rPr>
            </w:pPr>
            <w:r>
              <w:rPr>
                <w:rFonts w:ascii="Times New Roman" w:cs="Times New Roman" w:eastAsia="Times New Roman" w:hAnsi="Times New Roman"/>
                <w:sz w:val="22"/>
                <w:szCs w:val="22"/>
                <w:b w:val="1"/>
                <w:bCs w:val="1"/>
                <w:color w:val="auto"/>
              </w:rPr>
              <w:t>EPS:</w:t>
            </w:r>
          </w:p>
        </w:tc>
        <w:tc>
          <w:tcPr>
            <w:tcW w:w="77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Basic earnings per share (unless otherwise noted) as defined under Generally Accepted Accounting</w:t>
            </w:r>
          </w:p>
        </w:tc>
        <w:tc>
          <w:tcPr>
            <w:tcW w:w="60" w:type="dxa"/>
            <w:vAlign w:val="bottom"/>
          </w:tcPr>
          <w:p>
            <w:pPr>
              <w:spacing w:after="0"/>
              <w:rPr>
                <w:sz w:val="16"/>
                <w:szCs w:val="16"/>
                <w:color w:val="auto"/>
              </w:rPr>
            </w:pPr>
          </w:p>
        </w:tc>
      </w:tr>
      <w:tr>
        <w:trPr>
          <w:trHeight w:val="228"/>
        </w:trPr>
        <w:tc>
          <w:tcPr>
            <w:tcW w:w="80" w:type="dxa"/>
            <w:vAlign w:val="bottom"/>
          </w:tcPr>
          <w:p>
            <w:pPr>
              <w:spacing w:after="0"/>
              <w:rPr>
                <w:sz w:val="19"/>
                <w:szCs w:val="19"/>
                <w:color w:val="auto"/>
              </w:rPr>
            </w:pPr>
          </w:p>
        </w:tc>
        <w:tc>
          <w:tcPr>
            <w:tcW w:w="3400" w:type="dxa"/>
            <w:vAlign w:val="bottom"/>
            <w:tcBorders>
              <w:bottom w:val="single" w:sz="8" w:color="DDDDDD"/>
            </w:tcBorders>
          </w:tcPr>
          <w:p>
            <w:pPr>
              <w:spacing w:after="0"/>
              <w:rPr>
                <w:sz w:val="19"/>
                <w:szCs w:val="19"/>
                <w:color w:val="auto"/>
              </w:rPr>
            </w:pP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Principles (GAAP)</w:t>
            </w:r>
          </w:p>
        </w:tc>
        <w:tc>
          <w:tcPr>
            <w:tcW w:w="60" w:type="dxa"/>
            <w:vAlign w:val="bottom"/>
          </w:tcPr>
          <w:p>
            <w:pPr>
              <w:spacing w:after="0"/>
              <w:rPr>
                <w:sz w:val="19"/>
                <w:szCs w:val="19"/>
                <w:color w:val="auto"/>
              </w:rPr>
            </w:pPr>
          </w:p>
        </w:tc>
      </w:tr>
      <w:tr>
        <w:trPr>
          <w:trHeight w:val="297"/>
        </w:trPr>
        <w:tc>
          <w:tcPr>
            <w:tcW w:w="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Exchange Act:</w:t>
            </w: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30"/>
        </w:trPr>
        <w:tc>
          <w:tcPr>
            <w:tcW w:w="80" w:type="dxa"/>
            <w:vAlign w:val="bottom"/>
          </w:tcPr>
          <w:p>
            <w:pPr>
              <w:spacing w:after="0"/>
              <w:rPr>
                <w:sz w:val="19"/>
                <w:szCs w:val="19"/>
                <w:color w:val="auto"/>
              </w:rPr>
            </w:pPr>
          </w:p>
        </w:tc>
        <w:tc>
          <w:tcPr>
            <w:tcW w:w="3400" w:type="dxa"/>
            <w:vAlign w:val="bottom"/>
            <w:tcBorders>
              <w:top w:val="single" w:sz="8" w:color="DDDDDD"/>
            </w:tcBorders>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Florida City Gas or FCG:</w:t>
            </w:r>
          </w:p>
        </w:tc>
        <w:tc>
          <w:tcPr>
            <w:tcW w:w="7700" w:type="dxa"/>
            <w:vAlign w:val="bottom"/>
            <w:tcBorders>
              <w:top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Pivotal Utility Holdings, Inc. d/b/a Florida City Gas, a wholly-owned subsidiary of Chesapeake</w:t>
            </w:r>
          </w:p>
        </w:tc>
        <w:tc>
          <w:tcPr>
            <w:tcW w:w="60" w:type="dxa"/>
            <w:vAlign w:val="bottom"/>
          </w:tcPr>
          <w:p>
            <w:pPr>
              <w:spacing w:after="0"/>
              <w:rPr>
                <w:sz w:val="19"/>
                <w:szCs w:val="19"/>
                <w:color w:val="auto"/>
              </w:rPr>
            </w:pPr>
          </w:p>
        </w:tc>
      </w:tr>
      <w:tr>
        <w:trPr>
          <w:trHeight w:val="189"/>
        </w:trPr>
        <w:tc>
          <w:tcPr>
            <w:tcW w:w="80" w:type="dxa"/>
            <w:vAlign w:val="bottom"/>
          </w:tcPr>
          <w:p>
            <w:pPr>
              <w:spacing w:after="0"/>
              <w:rPr>
                <w:sz w:val="16"/>
                <w:szCs w:val="16"/>
                <w:color w:val="auto"/>
              </w:rPr>
            </w:pPr>
          </w:p>
        </w:tc>
        <w:tc>
          <w:tcPr>
            <w:tcW w:w="3400" w:type="dxa"/>
            <w:vAlign w:val="bottom"/>
            <w:tcBorders>
              <w:bottom w:val="single" w:sz="8" w:color="DDDDDD"/>
            </w:tcBorders>
          </w:tcPr>
          <w:p>
            <w:pPr>
              <w:spacing w:after="0"/>
              <w:rPr>
                <w:sz w:val="16"/>
                <w:szCs w:val="16"/>
                <w:color w:val="auto"/>
              </w:rPr>
            </w:pPr>
          </w:p>
        </w:tc>
        <w:tc>
          <w:tcPr>
            <w:tcW w:w="7700" w:type="dxa"/>
            <w:vAlign w:val="bottom"/>
            <w:tcBorders>
              <w:bottom w:val="single" w:sz="8" w:color="DDDDDD"/>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Utilities that was acquired from Florida Power &amp; Light Company on November 30, 2023</w:t>
            </w:r>
          </w:p>
        </w:tc>
        <w:tc>
          <w:tcPr>
            <w:tcW w:w="60" w:type="dxa"/>
            <w:vAlign w:val="bottom"/>
          </w:tcPr>
          <w:p>
            <w:pPr>
              <w:spacing w:after="0"/>
              <w:rPr>
                <w:sz w:val="16"/>
                <w:szCs w:val="16"/>
                <w:color w:val="auto"/>
              </w:rPr>
            </w:pPr>
          </w:p>
        </w:tc>
      </w:tr>
      <w:tr>
        <w:trPr>
          <w:trHeight w:val="298"/>
        </w:trPr>
        <w:tc>
          <w:tcPr>
            <w:tcW w:w="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IRS:</w:t>
            </w: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03"/>
        </w:trPr>
        <w:tc>
          <w:tcPr>
            <w:tcW w:w="80" w:type="dxa"/>
            <w:vAlign w:val="bottom"/>
          </w:tcPr>
          <w:p>
            <w:pPr>
              <w:spacing w:after="0"/>
              <w:rPr>
                <w:sz w:val="17"/>
                <w:szCs w:val="17"/>
                <w:color w:val="auto"/>
              </w:rPr>
            </w:pPr>
          </w:p>
        </w:tc>
        <w:tc>
          <w:tcPr>
            <w:tcW w:w="3400" w:type="dxa"/>
            <w:vAlign w:val="bottom"/>
            <w:tcBorders>
              <w:top w:val="single" w:sz="8" w:color="DDDDDD"/>
            </w:tcBorders>
          </w:tcPr>
          <w:p>
            <w:pPr>
              <w:spacing w:after="0" w:line="203" w:lineRule="exact"/>
              <w:rPr>
                <w:sz w:val="20"/>
                <w:szCs w:val="20"/>
                <w:color w:val="auto"/>
              </w:rPr>
            </w:pPr>
            <w:r>
              <w:rPr>
                <w:rFonts w:ascii="Times New Roman" w:cs="Times New Roman" w:eastAsia="Times New Roman" w:hAnsi="Times New Roman"/>
                <w:sz w:val="22"/>
                <w:szCs w:val="22"/>
                <w:b w:val="1"/>
                <w:bCs w:val="1"/>
                <w:color w:val="auto"/>
              </w:rPr>
              <w:t>Named Executive Officer or NEO:</w:t>
            </w:r>
          </w:p>
        </w:tc>
        <w:tc>
          <w:tcPr>
            <w:tcW w:w="7700" w:type="dxa"/>
            <w:vAlign w:val="bottom"/>
            <w:tcBorders>
              <w:top w:val="single" w:sz="8" w:color="DDDDDD"/>
            </w:tcBorders>
          </w:tcPr>
          <w:p>
            <w:pPr>
              <w:ind w:left="200"/>
              <w:spacing w:after="0" w:line="202" w:lineRule="exact"/>
              <w:rPr>
                <w:sz w:val="20"/>
                <w:szCs w:val="20"/>
                <w:color w:val="auto"/>
              </w:rPr>
            </w:pPr>
            <w:r>
              <w:rPr>
                <w:rFonts w:ascii="Times New Roman" w:cs="Times New Roman" w:eastAsia="Times New Roman" w:hAnsi="Times New Roman"/>
                <w:sz w:val="18"/>
                <w:szCs w:val="18"/>
                <w:color w:val="auto"/>
              </w:rPr>
              <w:t>An executive officer of the Company who is considered a "named executive officer" under Item 402(a)</w:t>
            </w:r>
          </w:p>
        </w:tc>
        <w:tc>
          <w:tcPr>
            <w:tcW w:w="6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 of Regulation S-K</w:t>
            </w:r>
          </w:p>
        </w:tc>
      </w:tr>
      <w:tr>
        <w:trPr>
          <w:trHeight w:val="184"/>
        </w:trPr>
        <w:tc>
          <w:tcPr>
            <w:tcW w:w="80" w:type="dxa"/>
            <w:vAlign w:val="bottom"/>
          </w:tcPr>
          <w:p>
            <w:pPr>
              <w:spacing w:after="0"/>
              <w:rPr>
                <w:sz w:val="16"/>
                <w:szCs w:val="16"/>
                <w:color w:val="auto"/>
              </w:rPr>
            </w:pPr>
          </w:p>
        </w:tc>
        <w:tc>
          <w:tcPr>
            <w:tcW w:w="3400" w:type="dxa"/>
            <w:vAlign w:val="bottom"/>
            <w:tcBorders>
              <w:top w:val="single" w:sz="8" w:color="DDDDDD"/>
            </w:tcBorders>
          </w:tcPr>
          <w:p>
            <w:pPr>
              <w:spacing w:after="0" w:line="185" w:lineRule="exact"/>
              <w:rPr>
                <w:sz w:val="20"/>
                <w:szCs w:val="20"/>
                <w:color w:val="auto"/>
              </w:rPr>
            </w:pPr>
            <w:r>
              <w:rPr>
                <w:rFonts w:ascii="Times New Roman" w:cs="Times New Roman" w:eastAsia="Times New Roman" w:hAnsi="Times New Roman"/>
                <w:sz w:val="21"/>
                <w:szCs w:val="21"/>
                <w:b w:val="1"/>
                <w:bCs w:val="1"/>
                <w:color w:val="auto"/>
              </w:rPr>
              <w:t>NQDC Plan:</w:t>
            </w:r>
          </w:p>
        </w:tc>
        <w:tc>
          <w:tcPr>
            <w:tcW w:w="7700" w:type="dxa"/>
            <w:vAlign w:val="bottom"/>
            <w:tcBorders>
              <w:top w:val="single" w:sz="8" w:color="DDDDDD"/>
            </w:tcBorders>
          </w:tcPr>
          <w:p>
            <w:pPr>
              <w:ind w:left="200"/>
              <w:spacing w:after="0" w:line="184" w:lineRule="exact"/>
              <w:rPr>
                <w:sz w:val="20"/>
                <w:szCs w:val="20"/>
                <w:color w:val="auto"/>
              </w:rPr>
            </w:pPr>
            <w:r>
              <w:rPr>
                <w:rFonts w:ascii="Times New Roman" w:cs="Times New Roman" w:eastAsia="Times New Roman" w:hAnsi="Times New Roman"/>
                <w:sz w:val="18"/>
                <w:szCs w:val="18"/>
                <w:color w:val="auto"/>
              </w:rPr>
              <w:t>Non-qualified Deferred Compensation Plan, a non-qualified, deferred compensation plan under which</w:t>
            </w:r>
          </w:p>
        </w:tc>
        <w:tc>
          <w:tcPr>
            <w:tcW w:w="60" w:type="dxa"/>
            <w:vAlign w:val="bottom"/>
          </w:tcPr>
          <w:p>
            <w:pPr>
              <w:spacing w:after="0"/>
              <w:rPr>
                <w:sz w:val="16"/>
                <w:szCs w:val="16"/>
                <w:color w:val="auto"/>
              </w:rPr>
            </w:pPr>
          </w:p>
        </w:tc>
      </w:tr>
      <w:tr>
        <w:trPr>
          <w:trHeight w:val="228"/>
        </w:trPr>
        <w:tc>
          <w:tcPr>
            <w:tcW w:w="80" w:type="dxa"/>
            <w:vAlign w:val="bottom"/>
          </w:tcPr>
          <w:p>
            <w:pPr>
              <w:spacing w:after="0"/>
              <w:rPr>
                <w:sz w:val="19"/>
                <w:szCs w:val="19"/>
                <w:color w:val="auto"/>
              </w:rPr>
            </w:pPr>
          </w:p>
        </w:tc>
        <w:tc>
          <w:tcPr>
            <w:tcW w:w="3400" w:type="dxa"/>
            <w:vAlign w:val="bottom"/>
            <w:tcBorders>
              <w:bottom w:val="single" w:sz="8" w:color="DDDDDD"/>
            </w:tcBorders>
          </w:tcPr>
          <w:p>
            <w:pPr>
              <w:spacing w:after="0"/>
              <w:rPr>
                <w:sz w:val="19"/>
                <w:szCs w:val="19"/>
                <w:color w:val="auto"/>
              </w:rPr>
            </w:pP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compensation may be deferred by eligible participants</w:t>
            </w:r>
          </w:p>
        </w:tc>
        <w:tc>
          <w:tcPr>
            <w:tcW w:w="60" w:type="dxa"/>
            <w:vAlign w:val="bottom"/>
          </w:tcPr>
          <w:p>
            <w:pPr>
              <w:spacing w:after="0"/>
              <w:rPr>
                <w:sz w:val="19"/>
                <w:szCs w:val="19"/>
                <w:color w:val="auto"/>
              </w:rPr>
            </w:pPr>
          </w:p>
        </w:tc>
      </w:tr>
      <w:tr>
        <w:trPr>
          <w:trHeight w:val="298"/>
        </w:trPr>
        <w:tc>
          <w:tcPr>
            <w:tcW w:w="80" w:type="dxa"/>
            <w:vAlign w:val="bottom"/>
          </w:tcPr>
          <w:p>
            <w:pPr>
              <w:spacing w:after="0"/>
              <w:rPr>
                <w:sz w:val="24"/>
                <w:szCs w:val="24"/>
                <w:color w:val="auto"/>
              </w:rPr>
            </w:pPr>
          </w:p>
        </w:tc>
        <w:tc>
          <w:tcPr>
            <w:tcW w:w="34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NYSE:</w:t>
            </w: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New York Stock Exchange</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PCAOB:</w:t>
            </w: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Public Company Accounting Oversight Board</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Retirement Savings Plan:</w:t>
            </w: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The Company's qualified 401(k) retirement savings plan</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2"/>
                <w:szCs w:val="22"/>
                <w:b w:val="1"/>
                <w:bCs w:val="1"/>
                <w:color w:val="auto"/>
              </w:rPr>
              <w:t>ROE:</w:t>
            </w: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Return on equity</w:t>
            </w:r>
          </w:p>
        </w:tc>
        <w:tc>
          <w:tcPr>
            <w:tcW w:w="60" w:type="dxa"/>
            <w:vAlign w:val="bottom"/>
          </w:tcPr>
          <w:p>
            <w:pPr>
              <w:spacing w:after="0"/>
              <w:rPr>
                <w:sz w:val="24"/>
                <w:szCs w:val="24"/>
                <w:color w:val="auto"/>
              </w:rPr>
            </w:pPr>
          </w:p>
        </w:tc>
      </w:tr>
      <w:tr>
        <w:trPr>
          <w:trHeight w:val="304"/>
        </w:trPr>
        <w:tc>
          <w:tcPr>
            <w:tcW w:w="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SEC:</w:t>
            </w: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191"/>
        </w:trPr>
        <w:tc>
          <w:tcPr>
            <w:tcW w:w="80" w:type="dxa"/>
            <w:vAlign w:val="bottom"/>
          </w:tcPr>
          <w:p>
            <w:pPr>
              <w:spacing w:after="0"/>
              <w:rPr>
                <w:sz w:val="16"/>
                <w:szCs w:val="16"/>
                <w:color w:val="auto"/>
              </w:rPr>
            </w:pPr>
          </w:p>
        </w:tc>
        <w:tc>
          <w:tcPr>
            <w:tcW w:w="3400" w:type="dxa"/>
            <w:vAlign w:val="bottom"/>
            <w:tcBorders>
              <w:top w:val="single" w:sz="8" w:color="DDDDDD"/>
            </w:tcBorders>
          </w:tcPr>
          <w:p>
            <w:pPr>
              <w:spacing w:after="0" w:line="190" w:lineRule="exact"/>
              <w:rPr>
                <w:sz w:val="20"/>
                <w:szCs w:val="20"/>
                <w:color w:val="auto"/>
              </w:rPr>
            </w:pPr>
            <w:r>
              <w:rPr>
                <w:rFonts w:ascii="Times New Roman" w:cs="Times New Roman" w:eastAsia="Times New Roman" w:hAnsi="Times New Roman"/>
                <w:sz w:val="22"/>
                <w:szCs w:val="22"/>
                <w:b w:val="1"/>
                <w:bCs w:val="1"/>
                <w:color w:val="auto"/>
              </w:rPr>
              <w:t>2023 SICP:</w:t>
            </w:r>
          </w:p>
        </w:tc>
        <w:tc>
          <w:tcPr>
            <w:tcW w:w="7700" w:type="dxa"/>
            <w:vAlign w:val="bottom"/>
            <w:tcBorders>
              <w:top w:val="single" w:sz="8" w:color="DDDDDD"/>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The Company's 2023 Stock and Incentive Compensation Plan as approved by our stockholders in May</w:t>
            </w:r>
          </w:p>
        </w:tc>
        <w:tc>
          <w:tcPr>
            <w:tcW w:w="60" w:type="dxa"/>
            <w:vAlign w:val="bottom"/>
          </w:tcPr>
          <w:p>
            <w:pPr>
              <w:spacing w:after="0"/>
              <w:rPr>
                <w:sz w:val="16"/>
                <w:szCs w:val="16"/>
                <w:color w:val="auto"/>
              </w:rPr>
            </w:pPr>
          </w:p>
        </w:tc>
      </w:tr>
      <w:tr>
        <w:trPr>
          <w:trHeight w:val="228"/>
        </w:trPr>
        <w:tc>
          <w:tcPr>
            <w:tcW w:w="80" w:type="dxa"/>
            <w:vAlign w:val="bottom"/>
          </w:tcPr>
          <w:p>
            <w:pPr>
              <w:spacing w:after="0"/>
              <w:rPr>
                <w:sz w:val="19"/>
                <w:szCs w:val="19"/>
                <w:color w:val="auto"/>
              </w:rPr>
            </w:pPr>
          </w:p>
        </w:tc>
        <w:tc>
          <w:tcPr>
            <w:tcW w:w="3400" w:type="dxa"/>
            <w:vAlign w:val="bottom"/>
            <w:tcBorders>
              <w:bottom w:val="single" w:sz="8" w:color="DDDDDD"/>
            </w:tcBorders>
          </w:tcPr>
          <w:p>
            <w:pPr>
              <w:spacing w:after="0"/>
              <w:rPr>
                <w:sz w:val="19"/>
                <w:szCs w:val="19"/>
                <w:color w:val="auto"/>
              </w:rPr>
            </w:pPr>
          </w:p>
        </w:tc>
        <w:tc>
          <w:tcPr>
            <w:tcW w:w="7700" w:type="dxa"/>
            <w:vAlign w:val="bottom"/>
            <w:tcBorders>
              <w:bottom w:val="single" w:sz="8" w:color="DDDDDD"/>
            </w:tcBorders>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r>
      <w:tr>
        <w:trPr>
          <w:trHeight w:val="298"/>
        </w:trPr>
        <w:tc>
          <w:tcPr>
            <w:tcW w:w="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TSR:</w:t>
            </w:r>
          </w:p>
        </w:tc>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844"/>
        </w:trPr>
        <w:tc>
          <w:tcPr>
            <w:tcW w:w="80" w:type="dxa"/>
            <w:vAlign w:val="bottom"/>
            <w:tcBorders>
              <w:bottom w:val="single" w:sz="8" w:color="9A9A9A"/>
            </w:tcBorders>
          </w:tcPr>
          <w:p>
            <w:pPr>
              <w:spacing w:after="0"/>
              <w:rPr>
                <w:sz w:val="24"/>
                <w:szCs w:val="24"/>
                <w:color w:val="auto"/>
              </w:rPr>
            </w:pPr>
          </w:p>
        </w:tc>
        <w:tc>
          <w:tcPr>
            <w:tcW w:w="3400" w:type="dxa"/>
            <w:vAlign w:val="bottom"/>
            <w:tcBorders>
              <w:top w:val="single" w:sz="8" w:color="DDDDDD"/>
              <w:bottom w:val="single" w:sz="8" w:color="9A9A9A"/>
            </w:tcBorders>
          </w:tcPr>
          <w:p>
            <w:pPr>
              <w:spacing w:after="0"/>
              <w:rPr>
                <w:sz w:val="24"/>
                <w:szCs w:val="24"/>
                <w:color w:val="auto"/>
              </w:rPr>
            </w:pPr>
          </w:p>
        </w:tc>
        <w:tc>
          <w:tcPr>
            <w:tcW w:w="7700" w:type="dxa"/>
            <w:vAlign w:val="bottom"/>
            <w:tcBorders>
              <w:top w:val="single" w:sz="8" w:color="DDDDDD"/>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36"/>
          <w:szCs w:val="36"/>
          <w:b w:val="1"/>
          <w:bCs w:val="1"/>
          <w:color w:val="00497F"/>
        </w:rPr>
        <w:t>1 -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Chesapeake Utilities Corporation (NYSE-traded: CPK) is providing stockholders with information on its 2026 Annual Meeting of Stockholders (including as it may be adjourned or postponed, the "Meeting"). The Notice of Virtual 2026 Annual Meeting of Stockholders, this Proxy Statement, and the Proxy Card are being furnished to our stockholders on or about March 25, 2026. We ask that you review each matter to be voted on at the Meeting and vote your shares using the methods described in this Proxy Statement. We encourage you to submit your proxy prior to the Meeting using any one of the convenient methods provided in the </w:t>
      </w:r>
      <w:r>
        <w:rPr>
          <w:rFonts w:ascii="Times New Roman" w:cs="Times New Roman" w:eastAsia="Times New Roman" w:hAnsi="Times New Roman"/>
          <w:sz w:val="18"/>
          <w:szCs w:val="18"/>
          <w:i w:val="1"/>
          <w:iCs w:val="1"/>
          <w:color w:val="auto"/>
        </w:rPr>
        <w:t>Voting Information</w:t>
      </w:r>
      <w:r>
        <w:rPr>
          <w:rFonts w:ascii="Times New Roman" w:cs="Times New Roman" w:eastAsia="Times New Roman" w:hAnsi="Times New Roman"/>
          <w:sz w:val="18"/>
          <w:szCs w:val="18"/>
          <w:color w:val="auto"/>
        </w:rPr>
        <w:t xml:space="preserve"> section of this Proxy Statement. The proxy materials describe each matter to be voted on by the stockholders, and information on the Company and its practices.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Voting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Meeting Attendance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Chesapeake Utilities Corporation's Virtual 2026 Annual Meeting of Stockholders will be held at 9:00 a.m. Eastern Time on Wednesday, May 6, 2026. The Meeting will be held in a virtual meeting format only. A virtual meeting format offers the same participation opportunities as those opportunities available to stockholders at in-person meetings. Stockholders will be able to listen, vote and submit questions. To participate in the Meeting, visit </w:t>
      </w:r>
      <w:r>
        <w:rPr>
          <w:rFonts w:ascii="Times New Roman" w:cs="Times New Roman" w:eastAsia="Times New Roman" w:hAnsi="Times New Roman"/>
          <w:sz w:val="18"/>
          <w:szCs w:val="18"/>
          <w:i w:val="1"/>
          <w:iCs w:val="1"/>
          <w:color w:val="auto"/>
        </w:rPr>
        <w:t xml:space="preserve">www.virtualshareholdermeeting.com/CPK2026 </w:t>
      </w:r>
      <w:r>
        <w:rPr>
          <w:rFonts w:ascii="Times New Roman" w:cs="Times New Roman" w:eastAsia="Times New Roman" w:hAnsi="Times New Roman"/>
          <w:sz w:val="18"/>
          <w:szCs w:val="18"/>
          <w:color w:val="auto"/>
        </w:rPr>
        <w:t>using your desktop or mobile device and enter your name and the control number included on your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Internet Availability of Proxy Materials ("Notice of Proxy Materials") or proxy card. Once you login to </w:t>
      </w:r>
      <w:r>
        <w:rPr>
          <w:rFonts w:ascii="Times New Roman" w:cs="Times New Roman" w:eastAsia="Times New Roman" w:hAnsi="Times New Roman"/>
          <w:sz w:val="18"/>
          <w:szCs w:val="18"/>
          <w:i w:val="1"/>
          <w:iCs w:val="1"/>
          <w:color w:val="auto"/>
        </w:rPr>
        <w:t>www.virtualshareholdermeeting.com/CPK2026</w:t>
      </w:r>
      <w:r>
        <w:rPr>
          <w:rFonts w:ascii="Times New Roman" w:cs="Times New Roman" w:eastAsia="Times New Roman" w:hAnsi="Times New Roman"/>
          <w:sz w:val="18"/>
          <w:szCs w:val="18"/>
          <w:color w:val="auto"/>
        </w:rPr>
        <w:t xml:space="preserve"> and enter the control number included on your Notice of Proxy Materials or proxy card, you may submit questions until the adjournment of the Meeting. Only questions pertinent to matters related to the Meeting will be answered during the Meeting, subject to time constraints. Any questions pertinent to matters related to the Meeting that cannot be answered during the Meeting due to time constraints will be responded to either telephonically or by email communication after the Meeting. The virtual platform for the 2026 Annual Meeting of Stockholders is supported across numerous browsers. If you need technical assistance with the meeting platform when logging into the Company's virtual Meeting or prior to adjournment of the Meeting, please call the technical support number provided at </w:t>
      </w:r>
      <w:r>
        <w:rPr>
          <w:rFonts w:ascii="Times New Roman" w:cs="Times New Roman" w:eastAsia="Times New Roman" w:hAnsi="Times New Roman"/>
          <w:sz w:val="18"/>
          <w:szCs w:val="18"/>
          <w:i w:val="1"/>
          <w:iCs w:val="1"/>
          <w:color w:val="auto"/>
        </w:rPr>
        <w:t>www.virtualshareholdermeeting.com/CPK2026</w:t>
      </w:r>
      <w:r>
        <w:rPr>
          <w:rFonts w:ascii="Times New Roman" w:cs="Times New Roman" w:eastAsia="Times New Roman" w:hAnsi="Times New Roman"/>
          <w:sz w:val="18"/>
          <w:szCs w:val="18"/>
          <w:color w:val="auto"/>
        </w:rPr>
        <w:t>. Representatives will be available beginning at 8:45 a.m. Eastern Time on Wednesday, May 6, 2026. A recording of the Meeting will not be available after the adjournment of the Meeting.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Holders of the Company's common stock at the close of business on March 9, 2026, the record date established by the Board, are entitled to vote at the Meeting. As of the record date, there were 23,989,243 shares of our common stock outstanding. These shares of common stock are our only outstanding class of voting equity securities. Each share of common stock is entitled to one vote on each matter submitted to the stockholders for a vote. The Company's executive officers and directors, collectively, have the power to vote 1.36% of these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Notice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accordance with rules promulgated by the SEC, we are using the internet as our primary means of furnishing proxy materials to stockholders. Consequently, most stockholders will receive a Notice of Proxy Materials, which will provide instructions for electronically accessing our Proxy Statement and 2025 Annual Report, as well as instructions for requesting a paper copy of these materials. The Notice of Proxy Materials also provides instructions for methods available to submit your vote on the proposals described in this Proxy Statement.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proposals to be voted on at the Meeting are provided below, along with the required vote for each proposal to be adopted, and the effect of abstentions and broker non-votes on each proposal. The named executive officers and directors intend to vote their shares of common stock FOR each nominee in Proposal 1, and FOR each of Proposals 2 and 3. With regard to Proposal 1, if elected, directors are subject to the Company’s Bylaws, as well as the current age eligibility requirement set forth in the Company's Corporate Governance Guidelines.</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Vote Required for the</w:t>
            </w:r>
          </w:p>
        </w:tc>
        <w:tc>
          <w:tcPr>
            <w:tcW w:w="190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Broker</w:t>
            </w:r>
          </w:p>
        </w:tc>
      </w:t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Proposal to be Adopted</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Effect of Abstentions</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7"/>
        </w:trPr>
        <w:tc>
          <w:tcPr>
            <w:tcW w:w="2220" w:type="dxa"/>
            <w:vAlign w:val="bottom"/>
            <w:tcBorders>
              <w:bottom w:val="single" w:sz="8" w:color="ADADAD"/>
            </w:tcBorders>
          </w:tcPr>
          <w:p>
            <w:pPr>
              <w:spacing w:after="0"/>
              <w:rPr>
                <w:sz w:val="2"/>
                <w:szCs w:val="2"/>
                <w:color w:val="auto"/>
              </w:rPr>
            </w:pPr>
          </w:p>
        </w:tc>
        <w:tc>
          <w:tcPr>
            <w:tcW w:w="1840" w:type="dxa"/>
            <w:vAlign w:val="bottom"/>
            <w:tcBorders>
              <w:bottom w:val="single" w:sz="8" w:color="ADADAD"/>
            </w:tcBorders>
          </w:tcPr>
          <w:p>
            <w:pPr>
              <w:spacing w:after="0"/>
              <w:rPr>
                <w:sz w:val="2"/>
                <w:szCs w:val="2"/>
                <w:color w:val="auto"/>
              </w:rPr>
            </w:pPr>
          </w:p>
        </w:tc>
        <w:tc>
          <w:tcPr>
            <w:tcW w:w="3440" w:type="dxa"/>
            <w:vAlign w:val="bottom"/>
            <w:tcBorders>
              <w:bottom w:val="single" w:sz="8" w:color="ADADAD"/>
            </w:tcBorders>
          </w:tcPr>
          <w:p>
            <w:pPr>
              <w:spacing w:after="0"/>
              <w:rPr>
                <w:sz w:val="2"/>
                <w:szCs w:val="2"/>
                <w:color w:val="auto"/>
              </w:rPr>
            </w:pPr>
          </w:p>
        </w:tc>
        <w:tc>
          <w:tcPr>
            <w:tcW w:w="1900" w:type="dxa"/>
            <w:vAlign w:val="bottom"/>
            <w:tcBorders>
              <w:bottom w:val="single" w:sz="8" w:color="ADADAD"/>
            </w:tcBorders>
          </w:tcPr>
          <w:p>
            <w:pPr>
              <w:spacing w:after="0"/>
              <w:rPr>
                <w:sz w:val="2"/>
                <w:szCs w:val="2"/>
                <w:color w:val="auto"/>
              </w:rPr>
            </w:pPr>
          </w:p>
        </w:tc>
        <w:tc>
          <w:tcPr>
            <w:tcW w:w="1840" w:type="dxa"/>
            <w:vAlign w:val="bottom"/>
            <w:tcBorders>
              <w:bottom w:val="single" w:sz="8" w:color="ADADAD"/>
            </w:tcBorders>
          </w:tcPr>
          <w:p>
            <w:pPr>
              <w:spacing w:after="0"/>
              <w:rPr>
                <w:sz w:val="2"/>
                <w:szCs w:val="2"/>
                <w:color w:val="auto"/>
              </w:rPr>
            </w:pP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4472C4"/>
              </w:rPr>
              <w:t>Proposal 1</w:t>
            </w:r>
            <w:r>
              <w:rPr>
                <w:rFonts w:ascii="Times New Roman" w:cs="Times New Roman" w:eastAsia="Times New Roman" w:hAnsi="Times New Roman"/>
                <w:sz w:val="18"/>
                <w:szCs w:val="18"/>
                <w:color w:val="000000"/>
              </w:rPr>
              <w:t>: Election of one</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each nominee</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Plurality of the votes of the shares present</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effect</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 director and three</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person or represented by proxy at the</w:t>
            </w: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III directors named in</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Meeting and entitled to vote on the</w:t>
            </w: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61"/>
        </w:trPr>
        <w:tc>
          <w:tcPr>
            <w:tcW w:w="22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this Proxy Statement</w:t>
            </w:r>
          </w:p>
        </w:tc>
        <w:tc>
          <w:tcPr>
            <w:tcW w:w="1840" w:type="dxa"/>
            <w:vAlign w:val="bottom"/>
            <w:tcBorders>
              <w:bottom w:val="single" w:sz="8" w:color="DBDBDB"/>
            </w:tcBorders>
          </w:tcPr>
          <w:p>
            <w:pPr>
              <w:spacing w:after="0"/>
              <w:rPr>
                <w:sz w:val="22"/>
                <w:szCs w:val="22"/>
                <w:color w:val="auto"/>
              </w:rPr>
            </w:pPr>
          </w:p>
        </w:tc>
        <w:tc>
          <w:tcPr>
            <w:tcW w:w="3440" w:type="dxa"/>
            <w:vAlign w:val="bottom"/>
            <w:tcBorders>
              <w:bottom w:val="single" w:sz="8" w:color="DBDBDB"/>
            </w:tcBorders>
          </w:tcPr>
          <w:p>
            <w:pPr>
              <w:ind w:left="280"/>
              <w:spacing w:after="0" w:line="262" w:lineRule="exact"/>
              <w:rPr>
                <w:sz w:val="20"/>
                <w:szCs w:val="20"/>
                <w:color w:val="auto"/>
              </w:rPr>
            </w:pPr>
            <w:r>
              <w:rPr>
                <w:rFonts w:ascii="Times New Roman" w:cs="Times New Roman" w:eastAsia="Times New Roman" w:hAnsi="Times New Roman"/>
                <w:sz w:val="18"/>
                <w:szCs w:val="18"/>
                <w:color w:val="auto"/>
              </w:rPr>
              <w:t>election of directors</w:t>
            </w:r>
            <w:r>
              <w:rPr>
                <w:rFonts w:ascii="Times New Roman" w:cs="Times New Roman" w:eastAsia="Times New Roman" w:hAnsi="Times New Roman"/>
                <w:sz w:val="23"/>
                <w:szCs w:val="23"/>
                <w:color w:val="auto"/>
                <w:vertAlign w:val="superscript"/>
              </w:rPr>
              <w:t>(1)</w:t>
            </w:r>
          </w:p>
        </w:tc>
        <w:tc>
          <w:tcPr>
            <w:tcW w:w="1900" w:type="dxa"/>
            <w:vAlign w:val="bottom"/>
            <w:tcBorders>
              <w:bottom w:val="single" w:sz="8" w:color="DBDBDB"/>
            </w:tcBorders>
          </w:tcPr>
          <w:p>
            <w:pPr>
              <w:spacing w:after="0"/>
              <w:rPr>
                <w:sz w:val="22"/>
                <w:szCs w:val="22"/>
                <w:color w:val="auto"/>
              </w:rPr>
            </w:pPr>
          </w:p>
        </w:tc>
        <w:tc>
          <w:tcPr>
            <w:tcW w:w="1840" w:type="dxa"/>
            <w:vAlign w:val="bottom"/>
            <w:tcBorders>
              <w:bottom w:val="single" w:sz="8" w:color="DBDBDB"/>
            </w:tcBorders>
          </w:tcPr>
          <w:p>
            <w:pPr>
              <w:spacing w:after="0"/>
              <w:rPr>
                <w:sz w:val="22"/>
                <w:szCs w:val="22"/>
                <w:color w:val="auto"/>
              </w:rPr>
            </w:pP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4472C4"/>
              </w:rPr>
              <w:t>Proposal 2</w:t>
            </w:r>
            <w:r>
              <w:rPr>
                <w:rFonts w:ascii="Times New Roman" w:cs="Times New Roman" w:eastAsia="Times New Roman" w:hAnsi="Times New Roman"/>
                <w:sz w:val="18"/>
                <w:szCs w:val="18"/>
                <w:color w:val="000000"/>
              </w:rPr>
              <w:t>: Approve on an</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Majority of the voting power of the stock</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Treated as votes</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effect</w:t>
            </w: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advisory non-binding basis</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present in person or represented by proxy</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against proposal</w:t>
            </w:r>
          </w:p>
        </w:tc>
        <w:tc>
          <w:tcPr>
            <w:tcW w:w="1840" w:type="dxa"/>
            <w:vAlign w:val="bottom"/>
          </w:tcPr>
          <w:p>
            <w:pPr>
              <w:spacing w:after="0"/>
              <w:rPr>
                <w:sz w:val="18"/>
                <w:szCs w:val="18"/>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compensation of the</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 the Meeting and entitled to vote on the</w:t>
            </w: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Company's Named</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matter</w:t>
            </w: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222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3440" w:type="dxa"/>
            <w:vAlign w:val="bottom"/>
            <w:tcBorders>
              <w:bottom w:val="single" w:sz="8" w:color="DBDBDB"/>
            </w:tcBorders>
          </w:tcPr>
          <w:p>
            <w:pPr>
              <w:spacing w:after="0"/>
              <w:rPr>
                <w:sz w:val="2"/>
                <w:szCs w:val="2"/>
                <w:color w:val="auto"/>
              </w:rPr>
            </w:pPr>
          </w:p>
        </w:tc>
        <w:tc>
          <w:tcPr>
            <w:tcW w:w="190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r>
      <w:tr>
        <w:trPr>
          <w:trHeight w:val="21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4472C4"/>
              </w:rPr>
              <w:t>Proposal 3</w:t>
            </w:r>
            <w:r>
              <w:rPr>
                <w:rFonts w:ascii="Times New Roman" w:cs="Times New Roman" w:eastAsia="Times New Roman" w:hAnsi="Times New Roman"/>
                <w:sz w:val="18"/>
                <w:szCs w:val="18"/>
                <w:color w:val="000000"/>
              </w:rPr>
              <w:t>: Ratify the</w:t>
            </w:r>
          </w:p>
        </w:tc>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Majority of the voting power of the stock</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Treated as votes</w:t>
            </w:r>
          </w:p>
        </w:tc>
        <w:tc>
          <w:tcPr>
            <w:tcW w:w="1840" w:type="dxa"/>
            <w:vAlign w:val="bottom"/>
          </w:tcPr>
          <w:p>
            <w:pPr>
              <w:ind w:left="180"/>
              <w:spacing w:after="0" w:line="218" w:lineRule="exact"/>
              <w:rPr>
                <w:sz w:val="20"/>
                <w:szCs w:val="20"/>
                <w:color w:val="auto"/>
              </w:rPr>
            </w:pPr>
            <w:r>
              <w:rPr>
                <w:rFonts w:ascii="Times New Roman" w:cs="Times New Roman" w:eastAsia="Times New Roman" w:hAnsi="Times New Roman"/>
                <w:sz w:val="18"/>
                <w:szCs w:val="18"/>
                <w:color w:val="auto"/>
              </w:rPr>
              <w:t>No effect</w:t>
            </w:r>
            <w:r>
              <w:rPr>
                <w:rFonts w:ascii="Times New Roman" w:cs="Times New Roman" w:eastAsia="Times New Roman" w:hAnsi="Times New Roman"/>
                <w:sz w:val="23"/>
                <w:szCs w:val="23"/>
                <w:color w:val="auto"/>
                <w:vertAlign w:val="superscript"/>
              </w:rPr>
              <w:t>(2)</w:t>
            </w: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appointment of Baker Tilly</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present in person or represented by proxy</w:t>
            </w:r>
          </w:p>
        </w:tc>
        <w:tc>
          <w:tcPr>
            <w:tcW w:w="1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against proposal</w:t>
            </w:r>
          </w:p>
        </w:tc>
        <w:tc>
          <w:tcPr>
            <w:tcW w:w="1840" w:type="dxa"/>
            <w:vAlign w:val="bottom"/>
          </w:tcPr>
          <w:p>
            <w:pPr>
              <w:spacing w:after="0"/>
              <w:rPr>
                <w:sz w:val="18"/>
                <w:szCs w:val="18"/>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LLP as the Company’s</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 the Meeting and entitled to vote on the</w:t>
            </w: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registered</w:t>
            </w:r>
          </w:p>
        </w:tc>
        <w:tc>
          <w:tcPr>
            <w:tcW w:w="184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matter</w:t>
            </w:r>
          </w:p>
        </w:tc>
        <w:tc>
          <w:tcPr>
            <w:tcW w:w="1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accounting firm</w:t>
            </w: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222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3440" w:type="dxa"/>
            <w:vAlign w:val="bottom"/>
            <w:tcBorders>
              <w:bottom w:val="single" w:sz="8" w:color="DBDBDB"/>
            </w:tcBorders>
          </w:tcPr>
          <w:p>
            <w:pPr>
              <w:spacing w:after="0"/>
              <w:rPr>
                <w:sz w:val="2"/>
                <w:szCs w:val="2"/>
                <w:color w:val="auto"/>
              </w:rPr>
            </w:pPr>
          </w:p>
        </w:tc>
        <w:tc>
          <w:tcPr>
            <w:tcW w:w="190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r>
    </w:tbl>
    <w:p>
      <w:pPr>
        <w:spacing w:after="0" w:line="109" w:lineRule="exact"/>
        <w:rPr>
          <w:sz w:val="20"/>
          <w:szCs w:val="20"/>
          <w:color w:val="auto"/>
        </w:rPr>
      </w:pPr>
    </w:p>
    <w:p>
      <w:pPr>
        <w:ind w:left="80" w:hanging="72"/>
        <w:spacing w:after="0"/>
        <w:tabs>
          <w:tab w:leader="none" w:pos="80"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"Withhold" votes have no effect on Proposal 1 because under plurality voting rules the director nominees receiving the highest number of “For” votes will be elected.</w:t>
      </w:r>
    </w:p>
    <w:p>
      <w:pPr>
        <w:spacing w:after="0" w:line="93" w:lineRule="exact"/>
        <w:rPr>
          <w:sz w:val="20"/>
          <w:szCs w:val="20"/>
          <w:color w:val="auto"/>
        </w:rPr>
      </w:pPr>
    </w:p>
    <w:p>
      <w:pPr>
        <w:jc w:val="both"/>
        <w:ind w:firstLine="8"/>
        <w:spacing w:after="0" w:line="293" w:lineRule="auto"/>
        <w:tabs>
          <w:tab w:leader="none" w:pos="70" w:val="left"/>
        </w:tabs>
        <w:numPr>
          <w:ilvl w:val="0"/>
          <w:numId w:val="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Whether a broker will be able to vote your shares it holds on your behalf will be determined by whether a proposal is deemed “routine” or “non-routine” based on NYSE rules that regulate member brokerage firms. We expect that Proposal 3 will be considered to be “routine” under NYSE rules. Accordingly, if you hold your shares in street name and do not direct your broker how to vote your shares, the broker will be entitled to vote the shares in its discretion on Proposal 3 and broker non-votes, if any, will have no effect on Proposal 3.</w:t>
      </w:r>
    </w:p>
    <w:p>
      <w:pPr>
        <w:spacing w:after="0" w:line="105"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appointed proxies will vote pursuant to their discretion on any other matter that is properly brought before the Meeting and at any adjournment or postponement of the Meeting in accordance with our Bylaws. The Company is not aware of any other matter to be presented at the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of Record. </w:t>
      </w:r>
      <w:r>
        <w:rPr>
          <w:rFonts w:ascii="Times New Roman" w:cs="Times New Roman" w:eastAsia="Times New Roman" w:hAnsi="Times New Roman"/>
          <w:sz w:val="18"/>
          <w:szCs w:val="18"/>
          <w:color w:val="auto"/>
        </w:rPr>
        <w:t>If you are a registered stockholder and receive a Notice of Proxy Materials, you may submit your proxy by telephone or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internet prior to the Meeting or you may vote at the Meeting. You may not submit your proxy by marking the Notice of Proxy Materials and returning it. If you received a paper copy of the proxy materials by mail, you may also submit your proxy by completing and returning your proxy card. Your shares will be voted at the Meeting if your proxy card or other method of voting is properly submitted and not subsequently revoked. If your proxy card or other method of submitting your proxy is properly submitted but you do not provide instructions with respect to some or all of the proposals, your shares will be voted in line with the Board's recommendation for each Proposal and pursuant to the appointed proxy's discretion for any other business properly brought before the Meeting as permitted. If it is unclear as to how you intended to vote (e.g., multiple selections are made for the same proposal), your proxy will be voted in line with the Board's recommendation for the applicable proposal.</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Ownership. </w:t>
      </w:r>
      <w:r>
        <w:rPr>
          <w:rFonts w:ascii="Times New Roman" w:cs="Times New Roman" w:eastAsia="Times New Roman" w:hAnsi="Times New Roman"/>
          <w:sz w:val="18"/>
          <w:szCs w:val="18"/>
          <w:color w:val="auto"/>
        </w:rPr>
        <w:t>If you held shares of our common stock through a bank, broker, trustee, nominee, or other institution (called holding your shares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“street name”) on March 9, 2026, you are entitled to vote on the matters described in this Proxy Statement. You will receive instructions through your bank, broker, trustee, nominee, or institution with regards to this Proxy Statement, any other solicitation materials, and voting. If you do not provide voting instructions to your bank, broker, trustee, nominee, or institution,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and the impact of broker non-votes on the approval of matters depends on the applicable voting standard. If you do not provide voting instructions, your bank, broker, trustee, nominee or institution will not be permitted to vote your shares on Proposal 1 - Election of Directors or Proposal 2 - advisory non-binding vote to approve the compensation of the Company's Named Executive Officers. If you do not provide voting instructions to your bank, broker, trustee, nominee or institution for Proposal 3 - advisory non-binding vote to ratify the appointment of our independent registered public accounting firm, which we expect will be considered a routine matter, your bank, broker, trustee, nominee or institution will be able to vote your shares in its discretion on such Proposal. If you hold shares in street name and plan to virtually attend the Meeting, you will need to obtain a valid proxy from your bank, broker, trustee, nominee or institution if you intend to vote your shares at the Meeting.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9"/>
          <w:szCs w:val="29"/>
          <w:b w:val="1"/>
          <w:bCs w:val="1"/>
          <w:color w:val="006EBF"/>
        </w:rPr>
        <w:t>Signing the Proxy - Stockholder Representatives or Joint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an authorized officer, partner or other agent voting shares on behalf of a corporation, limited liability company, partnership or other legal entity, you should sign in the entity name and indicate your name and title when the vote is submitted. If you are an agent, attorney, guardian or trustee voting on behalf of a registered stockholder, you should also indicate your title with your signature when the vote is submitted. If you own stock with multiple parties, each party should sign their individual name. If stock is registered in the name of a decedent and you are an executor, or an administrator, of the decedent’s estate, you should sign your name, indicate your title following your signature, and attach legal instruments showing your qualification and authority to act in this capacity.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Methods Available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Your vote is important and we encourage you to submit your proxy as soon as possible, even if you plan to virtually attend the Meeting. You may virtually attend the Meeting and electronically cast your vote before voting is declared closed at the Meeting, even if you previously submitted your proxy using any of the methods below. Each of the following methods are available to submit your proxy as provided on the proxy card.</w:t>
      </w:r>
    </w:p>
    <w:p>
      <w:pPr>
        <w:sectPr>
          <w:pgSz w:w="11900" w:h="16838" w:orient="portrait"/>
          <w:cols w:equalWidth="0" w:num="1">
            <w:col w:w="11240"/>
          </w:cols>
          <w:pgMar w:left="320" w:top="938" w:right="339" w:bottom="1440" w:gutter="0" w:footer="0" w:header="0"/>
        </w:sectPr>
      </w:pPr>
    </w:p>
    <w:p>
      <w:pPr>
        <w:spacing w:after="0" w:line="111" w:lineRule="exact"/>
        <w:rPr>
          <w:sz w:val="20"/>
          <w:szCs w:val="20"/>
          <w:color w:val="auto"/>
        </w:rPr>
      </w:pPr>
    </w:p>
    <w:p>
      <w:pPr>
        <w:ind w:left="20"/>
        <w:spacing w:after="0" w:line="293" w:lineRule="auto"/>
        <w:rPr>
          <w:sz w:val="20"/>
          <w:szCs w:val="20"/>
          <w:color w:val="auto"/>
        </w:rPr>
      </w:pPr>
      <w:r>
        <w:rPr>
          <w:rFonts w:ascii="Times New Roman" w:cs="Times New Roman" w:eastAsia="Times New Roman" w:hAnsi="Times New Roman"/>
          <w:sz w:val="18"/>
          <w:szCs w:val="18"/>
          <w:b w:val="1"/>
          <w:bCs w:val="1"/>
          <w:color w:val="326699"/>
        </w:rPr>
        <w:t>Internet Mobile Device Telephone Mail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Type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in your internet browser and enter the control number on your Notice of Proxy Materials or proxy card.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Scan the QR Code on your Notice of Proxy Materials or proxy card with your mobile device and enter the control number.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 toll free (800) 690-6903 and follow the telephone prompts.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receive a paper copy of the proxy materials by mail, to cast your ballot, complete, sign and date your proxy card, and mail 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enclosed envelope.</w:t>
      </w:r>
    </w:p>
    <w:p>
      <w:pPr>
        <w:spacing w:after="0" w:line="200" w:lineRule="exact"/>
        <w:rPr>
          <w:sz w:val="20"/>
          <w:szCs w:val="20"/>
          <w:color w:val="auto"/>
        </w:rPr>
      </w:pPr>
    </w:p>
    <w:p>
      <w:pPr>
        <w:sectPr>
          <w:pgSz w:w="11900" w:h="16838" w:orient="portrait"/>
          <w:cols w:equalWidth="0" w:num="2">
            <w:col w:w="1120" w:space="600"/>
            <w:col w:w="9520"/>
          </w:cols>
          <w:pgMar w:left="320" w:top="938" w:right="339" w:bottom="1440" w:gutter="0" w:footer="0" w:header="0"/>
          <w:type w:val="continuous"/>
        </w:sectPr>
      </w:pPr>
    </w:p>
    <w:p>
      <w:pPr>
        <w:spacing w:after="0" w:line="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you own shares through your bank, broker, trustee, nominee, or other institution, you will receive instructions through your representative with regards to this Proxy Statement, any other solicitation materials, and voting the shares you own in those accounts. We will reimburse the institutions for reasonable expenses incurred in connection with their solicitation.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Director Nominations and Eligibility</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Nominations. </w:t>
      </w:r>
      <w:r>
        <w:rPr>
          <w:rFonts w:ascii="Times New Roman" w:cs="Times New Roman" w:eastAsia="Times New Roman" w:hAnsi="Times New Roman"/>
          <w:sz w:val="18"/>
          <w:szCs w:val="18"/>
          <w:color w:val="auto"/>
        </w:rPr>
        <w:t>Throughout the year, the Corporate Governance Committee, in conjunction with the Board, evaluates board composition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oversees board succession and refreshment over the near and long-term, including practices benchmarked against our peer companies and broader indices such as the S&amp;P 500 and the top 100 U.S. public companies. Potential board candidates are identified within the business, civic, and legal communities or by third-party business partners. Prior to nominating a candidate, the Committee considers a multitude of factors, including the size of the Board, average age of directors, retirement policies, tenures, biographical and other background information, diversity of directors' perspectives, attributes, experiences and skills that reflect the industry and communities we serve, community involvement, a candidate’s availability and commitment level, the Company's governing documents, and whether a candidate is independent under applicable rules and listing standards. For incumbent directors, the Committee considers feedback received during the Board evaluation process. For new candidates, the Committee considers the results of the candidate’s interview, which is conducted by the Chair of the Board, the Lead Director, Corporate Governance Committee Chair, and others as requested, where topics such as depth of experience, business acumen, technical expertise, commitments and cultural fit are discussed. When evaluating the nomination of a potential director, the Committee also considers certain traits which are consistent with the Company's Director Eligibility Guidelines, including:</w:t>
      </w:r>
    </w:p>
    <w:p>
      <w:pPr>
        <w:spacing w:after="0" w:line="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leader in a field of expertise or demonstrate professional achievement through a position of significant responsibility;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values-driven culture that represents and reflects the diverse communities we serve;</w:t>
      </w:r>
    </w:p>
    <w:p>
      <w:pPr>
        <w:spacing w:after="0" w:line="90"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open to different backgrounds, experiences and perspectives that enable the Board as a whole to evaluate and embrace an ever-evolving business landscape;</w:t>
      </w:r>
    </w:p>
    <w:p>
      <w:pPr>
        <w:spacing w:after="0" w:line="1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geographic diversity that includes the states where the Company operates, and bring subject matter expertise that enhances the Board's collective knowledge;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sound business judgment;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 integrity and high ethics and adhere to and comply with the Company's Business Code of Ethics and Conduct;</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type w:val="continuous"/>
        </w:sectPr>
      </w:pPr>
    </w:p>
    <w:bookmarkStart w:id="9" w:name="page10"/>
    <w:bookmarkEnd w:id="9"/>
    <w:p>
      <w:pPr>
        <w:ind w:left="660" w:hanging="328"/>
        <w:spacing w:after="0" w:line="29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regularly scheduled meetings and special meetings of the Board and of each committee on which the director serves, and spend the time necessary to prepare for meetings;</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Listen and work in a collegial manner so that every voice is heard;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reputation that is consistent with our image and reputation;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any conflict of interest that would impair the ability to represent the interests of our stockholders; and</w:t>
      </w:r>
    </w:p>
    <w:p>
      <w:pPr>
        <w:spacing w:after="0" w:line="90"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diverse in skills, knowledge and experience that enhance the Board's core competencies, enable differing points of view, further maximize long-term stockholder value, and benefit the Company's stockholders, employees, customers and the communities we serve.</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Following this process, and if appropriate, the Committee recommends to the Board the nomination of the candidate for election as a director. In the case of a director nominee appointed to fill a vacancy or a newly created directorship, the nominee will stand for election at our next annual meeting of stockholders. Once elected, a new director participates in our director orientation program which may be held virtually or at one of our facilities. The program familiarizes the director with various aspects of the Company, including our strategy, business structure, risk profile, financial performance and competitive landscape.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Stockholders may also nominate candidates for consideration by the Committee if they satisfy all of the requirements set forth in our Bylaws. Stockholder submissions to nominate a candidate for election as a director must be sent in proper written form to our Corporate Secretary and received at the Company’s principal office (i) in the case of an annual meeting of stockholders, not earlier than the close of business on the 120th day and not later than the close of business on the 90th day prior to the first anniversary of the preceding year's annual meeting of stockholders; provided, however, that in the event the date of the annual meeting is more than 30 days before or more than 60 days after such anniversary date, notice by stockholders to be timely must be so received no earlier than the close of business on the 120th day prior to the date of such annual meeting and not later than the later of (x) the close of business on the 90th day prior to the date of such meeting and (y) the close of business on the 10th day following the date on which public announcement of the annual meeting is first made by the Company; and (ii) in the case of a special meeting of stockholders called for the purpose of electing directors, not later than the close of business on the 10th day following the date on which public announcement of the date of the special meeting at which directors are elected is first made by the Company and, in each case, must comply with the requirements set forth in our Bylaws.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Board Composition</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varying backgrounds and experiences of our directors, including the nominees for re-election, contributes to the Company’s success and supports our continued growth, leading financial performance, and focus on long-term shareholder value. Additional information on the backgrounds, expertise, skills and experiences represented on the Board as of March 9, 2026, the Company's record date,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880735" cy="3086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80735" cy="308610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p>
      <w:pPr>
        <w:spacing w:after="0" w:line="132" w:lineRule="exact"/>
        <w:rPr>
          <w:sz w:val="20"/>
          <w:szCs w:val="20"/>
          <w:color w:val="auto"/>
        </w:rPr>
      </w:pPr>
    </w:p>
    <w:p>
      <w:pPr>
        <w:ind w:left="140" w:right="240"/>
        <w:spacing w:after="0" w:line="318" w:lineRule="auto"/>
        <w:rPr>
          <w:sz w:val="20"/>
          <w:szCs w:val="20"/>
          <w:color w:val="auto"/>
        </w:rPr>
      </w:pPr>
      <w:r>
        <w:rPr>
          <w:rFonts w:ascii="Arial" w:cs="Arial" w:eastAsia="Arial" w:hAnsi="Arial"/>
          <w:sz w:val="13"/>
          <w:szCs w:val="13"/>
          <w:b w:val="1"/>
          <w:bCs w:val="1"/>
          <w:color w:val="929292"/>
        </w:rPr>
        <w:t>Summary Highlights as of March 9, 2026</w:t>
      </w:r>
    </w:p>
    <w:p>
      <w:pPr>
        <w:spacing w:after="0" w:line="49" w:lineRule="exact"/>
        <w:rPr>
          <w:sz w:val="20"/>
          <w:szCs w:val="20"/>
          <w:color w:val="auto"/>
        </w:rPr>
      </w:pPr>
    </w:p>
    <w:p>
      <w:pPr>
        <w:ind w:left="140"/>
        <w:spacing w:after="0" w:line="293" w:lineRule="auto"/>
        <w:rPr>
          <w:sz w:val="20"/>
          <w:szCs w:val="20"/>
          <w:color w:val="auto"/>
        </w:rPr>
      </w:pPr>
      <w:r>
        <w:rPr>
          <w:rFonts w:ascii="Arial" w:cs="Arial" w:eastAsia="Arial" w:hAnsi="Arial"/>
          <w:sz w:val="13"/>
          <w:szCs w:val="13"/>
          <w:b w:val="1"/>
          <w:bCs w:val="1"/>
          <w:color w:val="6896C4"/>
        </w:rPr>
        <w:t xml:space="preserve">100% INDEPENDENCE </w:t>
      </w:r>
      <w:r>
        <w:rPr>
          <w:rFonts w:ascii="Arial" w:cs="Arial" w:eastAsia="Arial" w:hAnsi="Arial"/>
          <w:sz w:val="13"/>
          <w:szCs w:val="13"/>
          <w:color w:val="929292"/>
        </w:rPr>
        <w:t>among</w:t>
      </w:r>
      <w:r>
        <w:rPr>
          <w:rFonts w:ascii="Arial" w:cs="Arial" w:eastAsia="Arial" w:hAnsi="Arial"/>
          <w:sz w:val="13"/>
          <w:szCs w:val="13"/>
          <w:b w:val="1"/>
          <w:bCs w:val="1"/>
          <w:color w:val="6896C4"/>
        </w:rPr>
        <w:t xml:space="preserve"> </w:t>
      </w:r>
      <w:r>
        <w:rPr>
          <w:rFonts w:ascii="Arial" w:cs="Arial" w:eastAsia="Arial" w:hAnsi="Arial"/>
          <w:sz w:val="13"/>
          <w:szCs w:val="13"/>
          <w:color w:val="929292"/>
        </w:rPr>
        <w:t>non-management directors serving on the Board</w:t>
      </w:r>
    </w:p>
    <w:p>
      <w:pPr>
        <w:spacing w:after="0" w:line="60" w:lineRule="exact"/>
        <w:rPr>
          <w:sz w:val="20"/>
          <w:szCs w:val="20"/>
          <w:color w:val="auto"/>
        </w:rPr>
      </w:pPr>
    </w:p>
    <w:p>
      <w:pPr>
        <w:ind w:left="140" w:right="40"/>
        <w:spacing w:after="0" w:line="293" w:lineRule="auto"/>
        <w:rPr>
          <w:sz w:val="20"/>
          <w:szCs w:val="20"/>
          <w:color w:val="auto"/>
        </w:rPr>
      </w:pPr>
      <w:r>
        <w:rPr>
          <w:rFonts w:ascii="Arial" w:cs="Arial" w:eastAsia="Arial" w:hAnsi="Arial"/>
          <w:sz w:val="13"/>
          <w:szCs w:val="13"/>
          <w:b w:val="1"/>
          <w:bCs w:val="1"/>
          <w:color w:val="6896C4"/>
        </w:rPr>
        <w:t xml:space="preserve">100% </w:t>
      </w:r>
      <w:r>
        <w:rPr>
          <w:rFonts w:ascii="Arial" w:cs="Arial" w:eastAsia="Arial" w:hAnsi="Arial"/>
          <w:sz w:val="13"/>
          <w:szCs w:val="13"/>
          <w:color w:val="929292"/>
        </w:rPr>
        <w:t>private or public</w:t>
      </w:r>
      <w:r>
        <w:rPr>
          <w:rFonts w:ascii="Arial" w:cs="Arial" w:eastAsia="Arial" w:hAnsi="Arial"/>
          <w:sz w:val="13"/>
          <w:szCs w:val="13"/>
          <w:b w:val="1"/>
          <w:bCs w:val="1"/>
          <w:color w:val="6896C4"/>
        </w:rPr>
        <w:t xml:space="preserve"> BOARD EXPERIENCE </w:t>
      </w:r>
      <w:r>
        <w:rPr>
          <w:rFonts w:ascii="Arial" w:cs="Arial" w:eastAsia="Arial" w:hAnsi="Arial"/>
          <w:sz w:val="13"/>
          <w:szCs w:val="13"/>
          <w:color w:val="929292"/>
        </w:rPr>
        <w:t>among all</w:t>
      </w:r>
      <w:r>
        <w:rPr>
          <w:rFonts w:ascii="Arial" w:cs="Arial" w:eastAsia="Arial" w:hAnsi="Arial"/>
          <w:sz w:val="13"/>
          <w:szCs w:val="13"/>
          <w:b w:val="1"/>
          <w:bCs w:val="1"/>
          <w:color w:val="6896C4"/>
        </w:rPr>
        <w:t xml:space="preserve"> </w:t>
      </w:r>
      <w:r>
        <w:rPr>
          <w:rFonts w:ascii="Arial" w:cs="Arial" w:eastAsia="Arial" w:hAnsi="Arial"/>
          <w:sz w:val="13"/>
          <w:szCs w:val="13"/>
          <w:color w:val="929292"/>
        </w:rPr>
        <w:t>directors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6896C4"/>
        </w:rPr>
        <w:t xml:space="preserve">63% </w:t>
      </w:r>
      <w:r>
        <w:rPr>
          <w:rFonts w:ascii="Arial" w:cs="Arial" w:eastAsia="Arial" w:hAnsi="Arial"/>
          <w:sz w:val="13"/>
          <w:szCs w:val="13"/>
          <w:color w:val="929292"/>
        </w:rPr>
        <w:t>of directors are</w:t>
      </w:r>
    </w:p>
    <w:p>
      <w:pPr>
        <w:spacing w:after="0" w:line="27" w:lineRule="exact"/>
        <w:rPr>
          <w:sz w:val="20"/>
          <w:szCs w:val="20"/>
          <w:color w:val="auto"/>
        </w:rPr>
      </w:pPr>
    </w:p>
    <w:p>
      <w:pPr>
        <w:ind w:left="140" w:right="40"/>
        <w:spacing w:after="0" w:line="305" w:lineRule="auto"/>
        <w:rPr>
          <w:sz w:val="20"/>
          <w:szCs w:val="20"/>
          <w:color w:val="auto"/>
        </w:rPr>
      </w:pPr>
      <w:r>
        <w:rPr>
          <w:rFonts w:ascii="Arial" w:cs="Arial" w:eastAsia="Arial" w:hAnsi="Arial"/>
          <w:sz w:val="13"/>
          <w:szCs w:val="13"/>
          <w:b w:val="1"/>
          <w:bCs w:val="1"/>
          <w:color w:val="6896C4"/>
        </w:rPr>
        <w:t xml:space="preserve">AFFILIATED WITH MARKETS </w:t>
      </w:r>
      <w:r>
        <w:rPr>
          <w:rFonts w:ascii="Arial" w:cs="Arial" w:eastAsia="Arial" w:hAnsi="Arial"/>
          <w:sz w:val="13"/>
          <w:szCs w:val="13"/>
          <w:color w:val="929292"/>
        </w:rPr>
        <w:t>in our service areas</w:t>
      </w:r>
    </w:p>
    <w:p>
      <w:pPr>
        <w:spacing w:after="0" w:line="52" w:lineRule="exact"/>
        <w:rPr>
          <w:sz w:val="20"/>
          <w:szCs w:val="20"/>
          <w:color w:val="auto"/>
        </w:rPr>
      </w:pPr>
    </w:p>
    <w:p>
      <w:pPr>
        <w:ind w:left="140"/>
        <w:spacing w:after="0" w:line="282" w:lineRule="auto"/>
        <w:rPr>
          <w:sz w:val="20"/>
          <w:szCs w:val="20"/>
          <w:color w:val="auto"/>
        </w:rPr>
      </w:pPr>
      <w:r>
        <w:rPr>
          <w:rFonts w:ascii="Arial" w:cs="Arial" w:eastAsia="Arial" w:hAnsi="Arial"/>
          <w:sz w:val="13"/>
          <w:szCs w:val="13"/>
          <w:b w:val="1"/>
          <w:bCs w:val="1"/>
          <w:color w:val="6896C4"/>
        </w:rPr>
        <w:t xml:space="preserve">63% </w:t>
      </w:r>
      <w:r>
        <w:rPr>
          <w:rFonts w:ascii="Arial" w:cs="Arial" w:eastAsia="Arial" w:hAnsi="Arial"/>
          <w:sz w:val="13"/>
          <w:szCs w:val="13"/>
          <w:color w:val="929292"/>
        </w:rPr>
        <w:t>of directors have current or</w:t>
      </w:r>
      <w:r>
        <w:rPr>
          <w:rFonts w:ascii="Arial" w:cs="Arial" w:eastAsia="Arial" w:hAnsi="Arial"/>
          <w:sz w:val="13"/>
          <w:szCs w:val="13"/>
          <w:b w:val="1"/>
          <w:bCs w:val="1"/>
          <w:color w:val="6896C4"/>
        </w:rPr>
        <w:t xml:space="preserve"> </w:t>
      </w:r>
      <w:r>
        <w:rPr>
          <w:rFonts w:ascii="Arial" w:cs="Arial" w:eastAsia="Arial" w:hAnsi="Arial"/>
          <w:sz w:val="13"/>
          <w:szCs w:val="13"/>
          <w:color w:val="929292"/>
        </w:rPr>
        <w:t xml:space="preserve">former experience as a </w:t>
      </w:r>
      <w:r>
        <w:rPr>
          <w:rFonts w:ascii="Arial" w:cs="Arial" w:eastAsia="Arial" w:hAnsi="Arial"/>
          <w:sz w:val="13"/>
          <w:szCs w:val="13"/>
          <w:b w:val="1"/>
          <w:bCs w:val="1"/>
          <w:color w:val="6896C4"/>
        </w:rPr>
        <w:t>CEO or</w:t>
      </w:r>
    </w:p>
    <w:p>
      <w:pPr>
        <w:ind w:left="140"/>
        <w:spacing w:after="0"/>
        <w:rPr>
          <w:sz w:val="20"/>
          <w:szCs w:val="20"/>
          <w:color w:val="auto"/>
        </w:rPr>
      </w:pPr>
      <w:r>
        <w:rPr>
          <w:rFonts w:ascii="Arial" w:cs="Arial" w:eastAsia="Arial" w:hAnsi="Arial"/>
          <w:sz w:val="13"/>
          <w:szCs w:val="13"/>
          <w:b w:val="1"/>
          <w:bCs w:val="1"/>
          <w:color w:val="6896C4"/>
        </w:rPr>
        <w:t>CFO</w:t>
      </w:r>
    </w:p>
    <w:p>
      <w:pPr>
        <w:spacing w:after="0" w:line="122" w:lineRule="exact"/>
        <w:rPr>
          <w:sz w:val="20"/>
          <w:szCs w:val="20"/>
          <w:color w:val="auto"/>
        </w:rPr>
      </w:pPr>
    </w:p>
    <w:p>
      <w:pPr>
        <w:ind w:left="140"/>
        <w:spacing w:after="0" w:line="278" w:lineRule="auto"/>
        <w:rPr>
          <w:sz w:val="20"/>
          <w:szCs w:val="20"/>
          <w:color w:val="auto"/>
        </w:rPr>
      </w:pPr>
      <w:r>
        <w:rPr>
          <w:rFonts w:ascii="Arial" w:cs="Arial" w:eastAsia="Arial" w:hAnsi="Arial"/>
          <w:sz w:val="13"/>
          <w:szCs w:val="13"/>
          <w:color w:val="929292"/>
        </w:rPr>
        <w:t xml:space="preserve">Directors have a diverse </w:t>
      </w:r>
      <w:r>
        <w:rPr>
          <w:rFonts w:ascii="Arial" w:cs="Arial" w:eastAsia="Arial" w:hAnsi="Arial"/>
          <w:sz w:val="13"/>
          <w:szCs w:val="13"/>
          <w:b w:val="1"/>
          <w:bCs w:val="1"/>
          <w:color w:val="6896C4"/>
        </w:rPr>
        <w:t>BLEND OF EXPERIENCE</w:t>
      </w:r>
      <w:r>
        <w:rPr>
          <w:rFonts w:ascii="Arial" w:cs="Arial" w:eastAsia="Arial" w:hAnsi="Arial"/>
          <w:sz w:val="13"/>
          <w:szCs w:val="13"/>
          <w:color w:val="929292"/>
        </w:rPr>
        <w:t>, with</w:t>
      </w:r>
      <w:r>
        <w:rPr>
          <w:rFonts w:ascii="Arial" w:cs="Arial" w:eastAsia="Arial" w:hAnsi="Arial"/>
          <w:sz w:val="13"/>
          <w:szCs w:val="13"/>
          <w:b w:val="1"/>
          <w:bCs w:val="1"/>
          <w:color w:val="6896C4"/>
        </w:rPr>
        <w:t xml:space="preserve"> </w:t>
      </w:r>
      <w:r>
        <w:rPr>
          <w:rFonts w:ascii="Arial" w:cs="Arial" w:eastAsia="Arial" w:hAnsi="Arial"/>
          <w:sz w:val="13"/>
          <w:szCs w:val="13"/>
          <w:color w:val="929292"/>
        </w:rPr>
        <w:t>tenure across all directors ranging from 0 to 24 years and ages ranging from 57 to 73 years</w:t>
      </w:r>
    </w:p>
    <w:p>
      <w:pPr>
        <w:spacing w:after="0" w:line="253" w:lineRule="exact"/>
        <w:rPr>
          <w:sz w:val="20"/>
          <w:szCs w:val="20"/>
          <w:color w:val="auto"/>
        </w:rPr>
      </w:pPr>
    </w:p>
    <w:p>
      <w:pPr>
        <w:ind w:left="140" w:right="100"/>
        <w:spacing w:after="0" w:line="282" w:lineRule="auto"/>
        <w:rPr>
          <w:sz w:val="20"/>
          <w:szCs w:val="20"/>
          <w:color w:val="auto"/>
        </w:rPr>
      </w:pPr>
      <w:r>
        <w:rPr>
          <w:rFonts w:ascii="Arial" w:cs="Arial" w:eastAsia="Arial" w:hAnsi="Arial"/>
          <w:sz w:val="13"/>
          <w:szCs w:val="13"/>
          <w:b w:val="1"/>
          <w:bCs w:val="1"/>
          <w:color w:val="6896C4"/>
        </w:rPr>
        <w:t xml:space="preserve">ESTABLISHED BOARD EVALUATION PROCESS </w:t>
      </w:r>
      <w:r>
        <w:rPr>
          <w:rFonts w:ascii="Arial" w:cs="Arial" w:eastAsia="Arial" w:hAnsi="Arial"/>
          <w:sz w:val="13"/>
          <w:szCs w:val="13"/>
          <w:color w:val="929292"/>
        </w:rPr>
        <w:t>and</w:t>
      </w:r>
      <w:r>
        <w:rPr>
          <w:rFonts w:ascii="Arial" w:cs="Arial" w:eastAsia="Arial" w:hAnsi="Arial"/>
          <w:sz w:val="13"/>
          <w:szCs w:val="13"/>
          <w:b w:val="1"/>
          <w:bCs w:val="1"/>
          <w:color w:val="6896C4"/>
        </w:rPr>
        <w:t xml:space="preserve"> </w:t>
      </w:r>
      <w:r>
        <w:rPr>
          <w:rFonts w:ascii="Arial" w:cs="Arial" w:eastAsia="Arial" w:hAnsi="Arial"/>
          <w:sz w:val="13"/>
          <w:szCs w:val="13"/>
          <w:color w:val="929292"/>
        </w:rPr>
        <w:t>mandatory retirement age policy of 75</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6896C4"/>
        </w:rPr>
        <w:t>Director Nominees and Continuing Directors Comprise the Following Knowledge,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123190</wp:posOffset>
            </wp:positionV>
            <wp:extent cx="44488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30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Energy Industry</w:t>
            </w:r>
          </w:p>
        </w:tc>
        <w:tc>
          <w:tcPr>
            <w:tcW w:w="2600" w:type="dxa"/>
            <w:vAlign w:val="bottom"/>
            <w:gridSpan w:val="2"/>
          </w:tcPr>
          <w:p>
            <w:pPr>
              <w:ind w:left="4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Values-driven Culture</w:t>
            </w:r>
          </w:p>
        </w:tc>
        <w:tc>
          <w:tcPr>
            <w:tcW w:w="0" w:type="dxa"/>
            <w:vAlign w:val="bottom"/>
          </w:tcPr>
          <w:p>
            <w:pPr>
              <w:spacing w:after="0"/>
              <w:rPr>
                <w:sz w:val="1"/>
                <w:szCs w:val="1"/>
                <w:color w:val="auto"/>
              </w:rPr>
            </w:pPr>
          </w:p>
        </w:tc>
      </w:tr>
      <w:tr>
        <w:trPr>
          <w:trHeight w:val="478"/>
        </w:trPr>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Renewables, Renewable Natural Gas,</w:t>
            </w:r>
          </w:p>
        </w:tc>
        <w:tc>
          <w:tcPr>
            <w:tcW w:w="480" w:type="dxa"/>
            <w:vAlign w:val="bottom"/>
            <w:vMerge w:val="restart"/>
          </w:tcPr>
          <w:p>
            <w:pPr>
              <w:ind w:left="420"/>
              <w:spacing w:after="0"/>
              <w:rPr>
                <w:sz w:val="20"/>
                <w:szCs w:val="20"/>
                <w:color w:val="auto"/>
              </w:rPr>
            </w:pPr>
            <w:r>
              <w:rPr>
                <w:rFonts w:ascii="Arial" w:cs="Arial" w:eastAsia="Arial" w:hAnsi="Arial"/>
                <w:sz w:val="14"/>
                <w:szCs w:val="14"/>
                <w:color w:val="auto"/>
                <w:w w:val="80"/>
              </w:rPr>
              <w:t>•</w:t>
            </w:r>
          </w:p>
        </w:tc>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Sustainability &amp; Community</w:t>
            </w:r>
          </w:p>
        </w:tc>
        <w:tc>
          <w:tcPr>
            <w:tcW w:w="0" w:type="dxa"/>
            <w:vAlign w:val="bottom"/>
          </w:tcPr>
          <w:p>
            <w:pPr>
              <w:spacing w:after="0"/>
              <w:rPr>
                <w:sz w:val="1"/>
                <w:szCs w:val="1"/>
                <w:color w:val="auto"/>
              </w:rPr>
            </w:pPr>
          </w:p>
        </w:tc>
      </w:tr>
      <w:tr>
        <w:trPr>
          <w:trHeight w:val="210"/>
        </w:trPr>
        <w:tc>
          <w:tcPr>
            <w:tcW w:w="80" w:type="dxa"/>
            <w:vAlign w:val="bottom"/>
            <w:vMerge w:val="continue"/>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Hydrogen, and Alternative Energy</w:t>
            </w:r>
          </w:p>
        </w:tc>
        <w:tc>
          <w:tcPr>
            <w:tcW w:w="480" w:type="dxa"/>
            <w:vAlign w:val="bottom"/>
            <w:vMerge w:val="continue"/>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Stewardship and Relationships</w:t>
            </w:r>
          </w:p>
        </w:tc>
        <w:tc>
          <w:tcPr>
            <w:tcW w:w="0" w:type="dxa"/>
            <w:vAlign w:val="bottom"/>
          </w:tcPr>
          <w:p>
            <w:pPr>
              <w:spacing w:after="0"/>
              <w:rPr>
                <w:sz w:val="1"/>
                <w:szCs w:val="1"/>
                <w:color w:val="auto"/>
              </w:rPr>
            </w:pPr>
          </w:p>
        </w:tc>
      </w:tr>
      <w:tr>
        <w:trPr>
          <w:trHeight w:val="465"/>
        </w:trPr>
        <w:tc>
          <w:tcPr>
            <w:tcW w:w="80" w:type="dxa"/>
            <w:vAlign w:val="bottom"/>
            <w:vMerge w:val="restart"/>
          </w:tcPr>
          <w:p>
            <w:pPr>
              <w:spacing w:after="0"/>
              <w:rPr>
                <w:sz w:val="20"/>
                <w:szCs w:val="20"/>
                <w:color w:val="auto"/>
              </w:rPr>
            </w:pPr>
            <w:r>
              <w:rPr>
                <w:rFonts w:ascii="Arial" w:cs="Arial" w:eastAsia="Arial" w:hAnsi="Arial"/>
                <w:sz w:val="14"/>
                <w:szCs w:val="14"/>
                <w:color w:val="auto"/>
              </w:rPr>
              <w:t>•</w:t>
            </w: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Human Capital Management /</w:t>
            </w:r>
          </w:p>
        </w:tc>
        <w:tc>
          <w:tcPr>
            <w:tcW w:w="480" w:type="dxa"/>
            <w:vAlign w:val="bottom"/>
            <w:vMerge w:val="restart"/>
          </w:tcPr>
          <w:p>
            <w:pPr>
              <w:ind w:left="420"/>
              <w:spacing w:after="0"/>
              <w:rPr>
                <w:sz w:val="20"/>
                <w:szCs w:val="20"/>
                <w:color w:val="auto"/>
              </w:rPr>
            </w:pPr>
            <w:r>
              <w:rPr>
                <w:rFonts w:ascii="Arial" w:cs="Arial" w:eastAsia="Arial" w:hAnsi="Arial"/>
                <w:sz w:val="14"/>
                <w:szCs w:val="14"/>
                <w:color w:val="auto"/>
                <w:w w:val="80"/>
              </w:rPr>
              <w:t>•</w:t>
            </w:r>
          </w:p>
        </w:tc>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Capital Markets</w:t>
            </w:r>
          </w:p>
        </w:tc>
        <w:tc>
          <w:tcPr>
            <w:tcW w:w="0" w:type="dxa"/>
            <w:vAlign w:val="bottom"/>
          </w:tcPr>
          <w:p>
            <w:pPr>
              <w:spacing w:after="0"/>
              <w:rPr>
                <w:sz w:val="1"/>
                <w:szCs w:val="1"/>
                <w:color w:val="auto"/>
              </w:rPr>
            </w:pPr>
          </w:p>
        </w:tc>
      </w:tr>
      <w:tr>
        <w:trPr>
          <w:trHeight w:val="210"/>
        </w:trPr>
        <w:tc>
          <w:tcPr>
            <w:tcW w:w="80" w:type="dxa"/>
            <w:vAlign w:val="bottom"/>
            <w:vMerge w:val="continue"/>
          </w:tcPr>
          <w:p>
            <w:pPr>
              <w:spacing w:after="0"/>
              <w:rPr>
                <w:sz w:val="18"/>
                <w:szCs w:val="18"/>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Organizational Development</w:t>
            </w:r>
          </w:p>
        </w:tc>
        <w:tc>
          <w:tcPr>
            <w:tcW w:w="480" w:type="dxa"/>
            <w:vAlign w:val="bottom"/>
            <w:vMerge w:val="continue"/>
          </w:tcPr>
          <w:p>
            <w:pPr>
              <w:spacing w:after="0"/>
              <w:rPr>
                <w:sz w:val="18"/>
                <w:szCs w:val="18"/>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Economic Environment</w:t>
            </w:r>
          </w:p>
        </w:tc>
        <w:tc>
          <w:tcPr>
            <w:tcW w:w="0" w:type="dxa"/>
            <w:vAlign w:val="bottom"/>
          </w:tcPr>
          <w:p>
            <w:pPr>
              <w:spacing w:after="0"/>
              <w:rPr>
                <w:sz w:val="1"/>
                <w:szCs w:val="1"/>
                <w:color w:val="auto"/>
              </w:rPr>
            </w:pPr>
          </w:p>
        </w:tc>
      </w:tr>
      <w:tr>
        <w:trPr>
          <w:trHeight w:val="513"/>
        </w:trPr>
        <w:tc>
          <w:tcPr>
            <w:tcW w:w="30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Strategic Planning/Development</w:t>
            </w:r>
          </w:p>
        </w:tc>
        <w:tc>
          <w:tcPr>
            <w:tcW w:w="2600" w:type="dxa"/>
            <w:vAlign w:val="bottom"/>
            <w:gridSpan w:val="2"/>
          </w:tcPr>
          <w:p>
            <w:pPr>
              <w:ind w:left="4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Accounting and Finance</w:t>
            </w:r>
          </w:p>
        </w:tc>
        <w:tc>
          <w:tcPr>
            <w:tcW w:w="0" w:type="dxa"/>
            <w:vAlign w:val="bottom"/>
          </w:tcPr>
          <w:p>
            <w:pPr>
              <w:spacing w:after="0"/>
              <w:rPr>
                <w:sz w:val="1"/>
                <w:szCs w:val="1"/>
                <w:color w:val="auto"/>
              </w:rPr>
            </w:pPr>
          </w:p>
        </w:tc>
      </w:tr>
      <w:tr>
        <w:trPr>
          <w:trHeight w:val="553"/>
        </w:trPr>
        <w:tc>
          <w:tcPr>
            <w:tcW w:w="30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Legal/Regulatory/Government Affairs</w:t>
            </w:r>
          </w:p>
        </w:tc>
        <w:tc>
          <w:tcPr>
            <w:tcW w:w="2600" w:type="dxa"/>
            <w:vAlign w:val="bottom"/>
            <w:gridSpan w:val="2"/>
          </w:tcPr>
          <w:p>
            <w:pPr>
              <w:ind w:left="4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Mergers and Acquisitions</w:t>
            </w:r>
          </w:p>
        </w:tc>
        <w:tc>
          <w:tcPr>
            <w:tcW w:w="0" w:type="dxa"/>
            <w:vAlign w:val="bottom"/>
          </w:tcPr>
          <w:p>
            <w:pPr>
              <w:spacing w:after="0"/>
              <w:rPr>
                <w:sz w:val="1"/>
                <w:szCs w:val="1"/>
                <w:color w:val="auto"/>
              </w:rPr>
            </w:pPr>
          </w:p>
        </w:tc>
      </w:tr>
      <w:tr>
        <w:trPr>
          <w:trHeight w:val="540"/>
        </w:trPr>
        <w:tc>
          <w:tcPr>
            <w:tcW w:w="30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Enterprise Risk Management</w:t>
            </w:r>
          </w:p>
        </w:tc>
        <w:tc>
          <w:tcPr>
            <w:tcW w:w="2600" w:type="dxa"/>
            <w:vAlign w:val="bottom"/>
            <w:gridSpan w:val="2"/>
          </w:tcPr>
          <w:p>
            <w:pPr>
              <w:ind w:left="4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Technology and Cybersecurity</w:t>
            </w:r>
          </w:p>
        </w:tc>
        <w:tc>
          <w:tcPr>
            <w:tcW w:w="0" w:type="dxa"/>
            <w:vAlign w:val="bottom"/>
          </w:tcPr>
          <w:p>
            <w:pPr>
              <w:spacing w:after="0"/>
              <w:rPr>
                <w:sz w:val="1"/>
                <w:szCs w:val="1"/>
                <w:color w:val="auto"/>
              </w:rPr>
            </w:pPr>
          </w:p>
        </w:tc>
      </w:tr>
      <w:tr>
        <w:trPr>
          <w:trHeight w:val="553"/>
        </w:trPr>
        <w:tc>
          <w:tcPr>
            <w:tcW w:w="3000" w:type="dxa"/>
            <w:vAlign w:val="bottom"/>
            <w:gridSpan w:val="2"/>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Succession Planning</w:t>
            </w:r>
          </w:p>
        </w:tc>
        <w:tc>
          <w:tcPr>
            <w:tcW w:w="2600" w:type="dxa"/>
            <w:vAlign w:val="bottom"/>
            <w:gridSpan w:val="2"/>
          </w:tcPr>
          <w:p>
            <w:pPr>
              <w:ind w:left="4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6"/>
                <w:szCs w:val="16"/>
                <w:color w:val="auto"/>
              </w:rPr>
              <w:t>Marketing and Communications</w:t>
            </w:r>
          </w:p>
        </w:tc>
        <w:tc>
          <w:tcPr>
            <w:tcW w:w="0" w:type="dxa"/>
            <w:vAlign w:val="bottom"/>
          </w:tcPr>
          <w:p>
            <w:pPr>
              <w:spacing w:after="0"/>
              <w:rPr>
                <w:sz w:val="1"/>
                <w:szCs w:val="1"/>
                <w:color w:val="auto"/>
              </w:rPr>
            </w:pPr>
          </w:p>
        </w:tc>
      </w:tr>
    </w:tbl>
    <w:p>
      <w:pPr>
        <w:spacing w:after="0" w:line="434" w:lineRule="exact"/>
        <w:rPr>
          <w:sz w:val="20"/>
          <w:szCs w:val="20"/>
          <w:color w:val="auto"/>
        </w:rPr>
      </w:pPr>
    </w:p>
    <w:p>
      <w:pPr>
        <w:sectPr>
          <w:pgSz w:w="11900" w:h="16838" w:orient="portrait"/>
          <w:cols w:equalWidth="0" w:num="2">
            <w:col w:w="2060" w:space="280"/>
            <w:col w:w="8900"/>
          </w:cols>
          <w:pgMar w:left="320" w:top="94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36"/>
          <w:szCs w:val="36"/>
          <w:b w:val="1"/>
          <w:bCs w:val="1"/>
          <w:color w:val="00497F"/>
        </w:rPr>
        <w:t>2 -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2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5"/>
                <w:szCs w:val="25"/>
                <w:b w:val="1"/>
                <w:bCs w:val="1"/>
                <w:color w:val="auto"/>
                <w:w w:val="99"/>
              </w:rPr>
              <w:t>Proposal</w:t>
            </w:r>
          </w:p>
        </w:tc>
        <w:tc>
          <w:tcPr>
            <w:tcW w:w="8440" w:type="dxa"/>
            <w:vAlign w:val="bottom"/>
            <w:gridSpan w:val="3"/>
            <w:shd w:val="clear" w:color="auto" w:fill="F2F2F2"/>
          </w:tcPr>
          <w:p>
            <w:pPr>
              <w:ind w:left="100"/>
              <w:spacing w:after="0"/>
              <w:rPr>
                <w:sz w:val="20"/>
                <w:szCs w:val="20"/>
                <w:color w:val="auto"/>
              </w:rPr>
            </w:pPr>
            <w:r>
              <w:rPr>
                <w:rFonts w:ascii="Times New Roman" w:cs="Times New Roman" w:eastAsia="Times New Roman" w:hAnsi="Times New Roman"/>
                <w:sz w:val="22"/>
                <w:szCs w:val="22"/>
                <w:b w:val="1"/>
                <w:bCs w:val="1"/>
                <w:color w:val="auto"/>
              </w:rPr>
              <w:t>ELECTION OF DIRECTORS</w:t>
            </w:r>
          </w:p>
        </w:tc>
        <w:tc>
          <w:tcPr>
            <w:tcW w:w="0" w:type="dxa"/>
            <w:vAlign w:val="bottom"/>
          </w:tcPr>
          <w:p>
            <w:pPr>
              <w:spacing w:after="0"/>
              <w:rPr>
                <w:sz w:val="1"/>
                <w:szCs w:val="1"/>
                <w:color w:val="auto"/>
              </w:rPr>
            </w:pPr>
          </w:p>
        </w:tc>
      </w:tr>
      <w:tr>
        <w:trPr>
          <w:trHeight w:val="319"/>
        </w:trPr>
        <w:tc>
          <w:tcPr>
            <w:tcW w:w="1280" w:type="dxa"/>
            <w:vAlign w:val="bottom"/>
            <w:vMerge w:val="restart"/>
            <w:shd w:val="clear" w:color="auto" w:fill="F2F2F2"/>
          </w:tcPr>
          <w:p>
            <w:pPr>
              <w:jc w:val="right"/>
              <w:ind w:right="101"/>
              <w:spacing w:after="0"/>
              <w:rPr>
                <w:sz w:val="20"/>
                <w:szCs w:val="20"/>
                <w:color w:val="auto"/>
              </w:rPr>
            </w:pPr>
            <w:r>
              <w:rPr>
                <w:rFonts w:ascii="Times New Roman" w:cs="Times New Roman" w:eastAsia="Times New Roman" w:hAnsi="Times New Roman"/>
                <w:sz w:val="86"/>
                <w:szCs w:val="86"/>
                <w:b w:val="1"/>
                <w:bCs w:val="1"/>
                <w:color w:val="auto"/>
              </w:rPr>
              <w:t>1</w:t>
            </w:r>
          </w:p>
        </w:tc>
        <w:tc>
          <w:tcPr>
            <w:tcW w:w="8440" w:type="dxa"/>
            <w:vAlign w:val="bottom"/>
            <w:gridSpan w:val="3"/>
            <w:shd w:val="clear" w:color="auto" w:fill="F2F2F2"/>
          </w:tcPr>
          <w:p>
            <w:pPr>
              <w:ind w:left="100"/>
              <w:spacing w:after="0"/>
              <w:rPr>
                <w:sz w:val="20"/>
                <w:szCs w:val="20"/>
                <w:color w:val="auto"/>
              </w:rPr>
            </w:pPr>
            <w:r>
              <w:rPr>
                <w:rFonts w:ascii="Times New Roman" w:cs="Times New Roman" w:eastAsia="Times New Roman" w:hAnsi="Times New Roman"/>
                <w:sz w:val="22"/>
                <w:szCs w:val="22"/>
                <w:b w:val="1"/>
                <w:bCs w:val="1"/>
                <w:color w:val="0067A6"/>
              </w:rPr>
              <w:t>The Board recommends a vote FOR each of the director nominees -</w:t>
            </w:r>
          </w:p>
        </w:tc>
        <w:tc>
          <w:tcPr>
            <w:tcW w:w="0" w:type="dxa"/>
            <w:vAlign w:val="bottom"/>
          </w:tcPr>
          <w:p>
            <w:pPr>
              <w:spacing w:after="0"/>
              <w:rPr>
                <w:sz w:val="1"/>
                <w:szCs w:val="1"/>
                <w:color w:val="auto"/>
              </w:rPr>
            </w:pPr>
          </w:p>
        </w:tc>
      </w:tr>
      <w:tr>
        <w:trPr>
          <w:trHeight w:val="20"/>
        </w:trPr>
        <w:tc>
          <w:tcPr>
            <w:tcW w:w="1280" w:type="dxa"/>
            <w:vAlign w:val="bottom"/>
            <w:vMerge w:val="continue"/>
            <w:shd w:val="clear" w:color="auto" w:fill="F2F2F2"/>
          </w:tcPr>
          <w:p>
            <w:pPr>
              <w:spacing w:after="0" w:line="20" w:lineRule="exact"/>
              <w:rPr>
                <w:sz w:val="1"/>
                <w:szCs w:val="1"/>
                <w:color w:val="auto"/>
              </w:rPr>
            </w:pPr>
          </w:p>
        </w:tc>
        <w:tc>
          <w:tcPr>
            <w:tcW w:w="2980" w:type="dxa"/>
            <w:vAlign w:val="bottom"/>
            <w:shd w:val="clear" w:color="auto" w:fill="F2F2F2"/>
          </w:tcPr>
          <w:p>
            <w:pPr>
              <w:spacing w:after="0" w:line="20" w:lineRule="exact"/>
              <w:rPr>
                <w:sz w:val="1"/>
                <w:szCs w:val="1"/>
                <w:color w:val="auto"/>
              </w:rPr>
            </w:pPr>
          </w:p>
        </w:tc>
        <w:tc>
          <w:tcPr>
            <w:tcW w:w="460" w:type="dxa"/>
            <w:vAlign w:val="bottom"/>
            <w:shd w:val="clear" w:color="auto" w:fill="0067A6"/>
          </w:tcPr>
          <w:p>
            <w:pPr>
              <w:spacing w:after="0" w:line="20" w:lineRule="exact"/>
              <w:rPr>
                <w:sz w:val="1"/>
                <w:szCs w:val="1"/>
                <w:color w:val="auto"/>
              </w:rPr>
            </w:pPr>
          </w:p>
        </w:tc>
        <w:tc>
          <w:tcPr>
            <w:tcW w:w="500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280" w:type="dxa"/>
            <w:vAlign w:val="bottom"/>
            <w:vMerge w:val="continue"/>
            <w:shd w:val="clear" w:color="auto" w:fill="F2F2F2"/>
          </w:tcPr>
          <w:p>
            <w:pPr>
              <w:spacing w:after="0"/>
              <w:rPr>
                <w:sz w:val="24"/>
                <w:szCs w:val="24"/>
                <w:color w:val="auto"/>
              </w:rPr>
            </w:pPr>
          </w:p>
        </w:tc>
        <w:tc>
          <w:tcPr>
            <w:tcW w:w="8440" w:type="dxa"/>
            <w:vAlign w:val="bottom"/>
            <w:gridSpan w:val="3"/>
            <w:shd w:val="clear" w:color="auto" w:fill="F2F2F2"/>
          </w:tcPr>
          <w:p>
            <w:pPr>
              <w:ind w:left="100"/>
              <w:spacing w:after="0"/>
              <w:rPr>
                <w:sz w:val="20"/>
                <w:szCs w:val="20"/>
                <w:color w:val="auto"/>
              </w:rPr>
            </w:pPr>
            <w:r>
              <w:rPr>
                <w:rFonts w:ascii="Times New Roman" w:cs="Times New Roman" w:eastAsia="Times New Roman" w:hAnsi="Times New Roman"/>
                <w:sz w:val="22"/>
                <w:szCs w:val="22"/>
                <w:b w:val="1"/>
                <w:bCs w:val="1"/>
                <w:color w:val="0067A6"/>
              </w:rPr>
              <w:t>Elisabeth A. Eden, Thomas J. Bresnan, Ronald G. Forsythe, Jr. and Sheree M. Petrone.</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Board Composition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Information. </w:t>
      </w:r>
      <w:r>
        <w:rPr>
          <w:rFonts w:ascii="Times New Roman" w:cs="Times New Roman" w:eastAsia="Times New Roman" w:hAnsi="Times New Roman"/>
          <w:sz w:val="18"/>
          <w:szCs w:val="18"/>
          <w:color w:val="auto"/>
        </w:rPr>
        <w:t>As of the date of this Proxy Statement, the entire Board consists of eight directors. The Board is divided into three classes (Class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II and Class III), with members of each class holding office for staggered terms. As approved by our shareholders at the 2025 Annual Meeting of Stockholders, the Board will be declassified at the 2028 Annual Meeting of Stockholders, at which time all directors will be elected annually. Directors elected at the 2026 Annual Meeting of Stockholders and the 2027 Annual Meeting of Stockholders will serve terms that expire at the 2028 Annual Meeting of Stockholders as described more particularly in the Company's Proxy Statement filed with the SEC on March 25, 2025. Directors are elected by a plurality of the votes cast by the holders of the shares present at the Meeting or represented by proxy and entitled to vote on the election of directors. Our director resignation policy in our Corporate Governance Guidelines applies when a director nominee receives more “withhold” votes than “for” votes in an uncontested director election at a stockholder meeting. Pursuant to the Company's Bylaws, a director appointed to fill a vacancy or a newly created directorship on the Board will hold office until the next annual meeting of stockholders.</w:t>
      </w:r>
    </w:p>
    <w:p>
      <w:pPr>
        <w:spacing w:after="0" w:line="1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for Director Nominees. </w:t>
      </w:r>
      <w:r>
        <w:rPr>
          <w:rFonts w:ascii="Times New Roman" w:cs="Times New Roman" w:eastAsia="Times New Roman" w:hAnsi="Times New Roman"/>
          <w:sz w:val="18"/>
          <w:szCs w:val="18"/>
          <w:color w:val="auto"/>
        </w:rPr>
        <w:t>Each share of our common stock is entitled to one vote. You may authorize a proxy to vote your shares on the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 proxy that withholds authority to vote for a particular nominee will count neither for nor against the nominee.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Nomination Process. </w:t>
      </w:r>
      <w:r>
        <w:rPr>
          <w:rFonts w:ascii="Times New Roman" w:cs="Times New Roman" w:eastAsia="Times New Roman" w:hAnsi="Times New Roman"/>
          <w:sz w:val="18"/>
          <w:szCs w:val="18"/>
          <w:color w:val="auto"/>
        </w:rPr>
        <w:t>The Corporate Governance Committee considers each director candidate in the context of the full Board and seeks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nominate individuals with diverse backgrounds, perspectives, experiences and professional skills that reflect the industry and communities in which the Company operates and who demonstrate integrity, judgment, leadership and decisiveness in their business dealings. The Corporate Governance Committee evaluates, among other things, the ability and potential of each candidate for nomination to contribute to the Company’s success and to support our continued growth, leading financial performance, and focus on long-term shareholder value. Directors should be able to commit the requisite time for preparation and attendance at Board and Committee meetings, as well as be able to participate in other matters necessary to ensure good corporate governance. Additional information on the Corporate Governance Committee’s criteria and evaluation of potential director nominations is provided in the </w:t>
      </w:r>
      <w:r>
        <w:rPr>
          <w:rFonts w:ascii="Times New Roman" w:cs="Times New Roman" w:eastAsia="Times New Roman" w:hAnsi="Times New Roman"/>
          <w:sz w:val="18"/>
          <w:szCs w:val="18"/>
          <w:i w:val="1"/>
          <w:iCs w:val="1"/>
          <w:color w:val="auto"/>
        </w:rPr>
        <w:t xml:space="preserve">Director Nominations and Eligibility </w:t>
      </w:r>
      <w:r>
        <w:rPr>
          <w:rFonts w:ascii="Times New Roman" w:cs="Times New Roman" w:eastAsia="Times New Roman" w:hAnsi="Times New Roman"/>
          <w:sz w:val="18"/>
          <w:szCs w:val="18"/>
          <w:color w:val="auto"/>
        </w:rPr>
        <w:t>section of this Proxy Statement.</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Nominees. </w:t>
      </w:r>
      <w:r>
        <w:rPr>
          <w:rFonts w:ascii="Times New Roman" w:cs="Times New Roman" w:eastAsia="Times New Roman" w:hAnsi="Times New Roman"/>
          <w:sz w:val="18"/>
          <w:szCs w:val="18"/>
          <w:color w:val="auto"/>
        </w:rPr>
        <w:t>On September 12, 2025, the Board increased the size of the Board from seven to eight directors and appointed Elisabeth A. Eden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member of the Board and the Audit Committee, effective September 15, 2025. On February 25, 2026, the Board confirmed the size of the Board at eight directors. We refer you to our discussion in the </w:t>
      </w:r>
      <w:r>
        <w:rPr>
          <w:rFonts w:ascii="Times New Roman" w:cs="Times New Roman" w:eastAsia="Times New Roman" w:hAnsi="Times New Roman"/>
          <w:sz w:val="18"/>
          <w:szCs w:val="18"/>
          <w:i w:val="1"/>
          <w:iCs w:val="1"/>
          <w:color w:val="auto"/>
        </w:rPr>
        <w:t>Board Composition and Voting</w:t>
      </w:r>
      <w:r>
        <w:rPr>
          <w:rFonts w:ascii="Times New Roman" w:cs="Times New Roman" w:eastAsia="Times New Roman" w:hAnsi="Times New Roman"/>
          <w:sz w:val="18"/>
          <w:szCs w:val="18"/>
          <w:color w:val="auto"/>
        </w:rPr>
        <w:t xml:space="preserve"> section of this Proxy Statement for further information regarding the composition of the Board. Upon the Corporate Governance Committee’s recommendation, the Board nominated the following incumbent directors: (i) Elisabeth A. Eden to serve as a Class II director until the 2028 Annual Meeting of Stockholders, and (ii) Thomas J. Bresnan, Ronald G. Forsythe, Jr. and Sheree M. Petrone to serve as Class III directors until the 2028 Annual Meeting of Stockholders, and until their successors are elected and qualified. If elected, directors are subject to the Company’s Bylaws, as well as the current age eligibility requirement set forth in the Company's Corporate Governance Guidelines. If prior to the election any of the nominees becomes unable or unwilling to serve as a director of the Company, all proxies will be voted for any substitute nominee recommended by the Corporate Governance Committee and designated by the Board. The Company’s Bylaws and other governing documents provide the framework for director nominations and director eligibility for election or re-election as a director of 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Director Family Relationships. </w:t>
      </w:r>
      <w:r>
        <w:rPr>
          <w:rFonts w:ascii="Times New Roman" w:cs="Times New Roman" w:eastAsia="Times New Roman" w:hAnsi="Times New Roman"/>
          <w:sz w:val="18"/>
          <w:szCs w:val="18"/>
          <w:color w:val="auto"/>
        </w:rPr>
        <w:t>There are no family relationships among any of our directors, nominees for directors, or executive officers.</w:t>
      </w:r>
    </w:p>
    <w:p>
      <w:pPr>
        <w:spacing w:after="0" w:line="1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Biographies, Key Attributes, Experience and Skills. </w:t>
      </w:r>
      <w:r>
        <w:rPr>
          <w:rFonts w:ascii="Times New Roman" w:cs="Times New Roman" w:eastAsia="Times New Roman" w:hAnsi="Times New Roman"/>
          <w:sz w:val="18"/>
          <w:szCs w:val="18"/>
          <w:color w:val="auto"/>
        </w:rPr>
        <w:t>Descriptions of the director nominees' and continuing directors' principal occupation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principal business, affiliations, and other business experience during the past five years are provided below.</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color w:val="auto"/>
        </w:rPr>
        <w:t>DIRECTOR NOMINEE - CLASS II - TERM EXPIRES IN 2028</w:t>
      </w:r>
    </w:p>
    <w:p>
      <w:pPr>
        <w:sectPr>
          <w:pgSz w:w="11900" w:h="16838" w:orient="portrait"/>
          <w:cols w:equalWidth="0" w:num="1">
            <w:col w:w="11240"/>
          </w:cols>
          <w:pgMar w:left="320" w:top="948" w:right="339" w:bottom="1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60" w:right="380"/>
        <w:spacing w:after="0" w:line="344" w:lineRule="auto"/>
        <w:rPr>
          <w:sz w:val="20"/>
          <w:szCs w:val="20"/>
          <w:color w:val="auto"/>
        </w:rPr>
      </w:pPr>
      <w:r>
        <w:rPr>
          <w:rFonts w:ascii="Times New Roman" w:cs="Times New Roman" w:eastAsia="Times New Roman" w:hAnsi="Times New Roman"/>
          <w:sz w:val="18"/>
          <w:szCs w:val="18"/>
          <w:color w:val="auto"/>
        </w:rPr>
        <w:t>Director since 2025 Independent Director 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-2199005</wp:posOffset>
            </wp:positionV>
            <wp:extent cx="1062990" cy="1388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2990" cy="1388745"/>
                    </a:xfrm>
                    <a:prstGeom prst="rect">
                      <a:avLst/>
                    </a:prstGeom>
                    <a:noFill/>
                  </pic:spPr>
                </pic:pic>
              </a:graphicData>
            </a:graphic>
          </wp:anchor>
        </w:drawing>
      </w:r>
    </w:p>
    <w:p>
      <w:pPr>
        <w:ind w:left="260"/>
        <w:spacing w:after="0" w:line="279" w:lineRule="auto"/>
        <w:rPr>
          <w:sz w:val="20"/>
          <w:szCs w:val="20"/>
          <w:color w:val="auto"/>
        </w:rPr>
      </w:pPr>
      <w:r>
        <w:rPr>
          <w:rFonts w:ascii="Times New Roman" w:cs="Times New Roman" w:eastAsia="Times New Roman" w:hAnsi="Times New Roman"/>
          <w:sz w:val="17"/>
          <w:szCs w:val="17"/>
          <w:color w:val="auto"/>
        </w:rPr>
        <w:t>Audit Committee Member and Financial Expert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4472C4"/>
        </w:rPr>
        <w:t>ELISABETH A. EDEN</w:t>
      </w:r>
    </w:p>
    <w:p>
      <w:pPr>
        <w:spacing w:after="0" w:line="99" w:lineRule="exact"/>
        <w:rPr>
          <w:sz w:val="20"/>
          <w:szCs w:val="20"/>
          <w:color w:val="auto"/>
        </w:rPr>
      </w:pPr>
    </w:p>
    <w:p>
      <w:pPr>
        <w:jc w:val="both"/>
        <w:ind w:right="1800"/>
        <w:spacing w:after="0" w:line="253" w:lineRule="auto"/>
        <w:rPr>
          <w:sz w:val="20"/>
          <w:szCs w:val="20"/>
          <w:color w:val="auto"/>
        </w:rPr>
      </w:pPr>
      <w:r>
        <w:rPr>
          <w:rFonts w:ascii="Times New Roman" w:cs="Times New Roman" w:eastAsia="Times New Roman" w:hAnsi="Times New Roman"/>
          <w:sz w:val="18"/>
          <w:szCs w:val="18"/>
          <w:color w:val="auto"/>
        </w:rPr>
        <w:t>Ms. Eden served as Senior Vice President and Chief Financial Officer for TXNM Energy, Inc. from 2022 until her retirement in 2025. She has deep experience in the energy industry across a diverse energy delivery portfolio. During her tenure with TXNM Energy, the parent company of Public Service Company of New Mexico and also of Texas-New Mexico Power Company, Ms. Eden served as Vice President and Treasurer (2021-2022 and 2015-2018), Vice President and Chief Information Officer (2020-2021), and Vice President of Human Resources (2018-2020), in addition to other senior-level director roles. Ms. Eden currently serves on the Board of Presbyterian Healthcare Services, a not-for-profit organization dedicated to improving the health of its patients, members and communities in New Mexico and previously served on the United Way of Central New Mexico’s Finance Committee (2021-2025). Ms. Eden also holds a Certified Financial Analyst (CFA) charter which recognizes investment management professionals.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-90805</wp:posOffset>
            </wp:positionV>
            <wp:extent cx="17145" cy="951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951230"/>
                    </a:xfrm>
                    <a:prstGeom prst="rect">
                      <a:avLst/>
                    </a:prstGeom>
                    <a:noFill/>
                  </pic:spPr>
                </pic:pic>
              </a:graphicData>
            </a:graphic>
          </wp:anchor>
        </w:drawing>
      </w:r>
    </w:p>
    <w:p>
      <w:pPr>
        <w:spacing w:after="0" w:line="101" w:lineRule="exact"/>
        <w:rPr>
          <w:sz w:val="20"/>
          <w:szCs w:val="20"/>
          <w:color w:val="auto"/>
        </w:rPr>
      </w:pPr>
    </w:p>
    <w:p>
      <w:pPr>
        <w:ind w:left="480" w:right="1840" w:hanging="326"/>
        <w:spacing w:after="0" w:line="282" w:lineRule="auto"/>
        <w:tabs>
          <w:tab w:leader="none" w:pos="4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oversight of the finance functions, including strategic financial planning and analysis, forecasting and decision support</w:t>
      </w:r>
    </w:p>
    <w:p>
      <w:pPr>
        <w:spacing w:after="0" w:line="53"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energy industry experience including mergers and acquisition</w:t>
      </w:r>
    </w:p>
    <w:p>
      <w:pPr>
        <w:spacing w:after="0" w:line="117"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expertise, leadership and oversight in a regulated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163195</wp:posOffset>
            </wp:positionV>
            <wp:extent cx="39687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20"/>
            <w:col w:w="8560"/>
          </w:cols>
          <w:pgMar w:left="320" w:top="948" w:right="339" w:bottom="112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DIRECTOR NOMINEES - CLASS III - TERMS EXPIRE IN 2028</w:t>
      </w:r>
    </w:p>
    <w:p>
      <w:pPr>
        <w:sectPr>
          <w:pgSz w:w="11900" w:h="16838" w:orient="portrait"/>
          <w:cols w:equalWidth="0" w:num="1">
            <w:col w:w="11240"/>
          </w:cols>
          <w:pgMar w:left="320" w:top="948" w:right="339" w:bottom="112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Director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-1704975</wp:posOffset>
            </wp:positionV>
            <wp:extent cx="1062990" cy="1345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2990" cy="1345565"/>
                    </a:xfrm>
                    <a:prstGeom prst="rect">
                      <a:avLst/>
                    </a:prstGeom>
                    <a:noFill/>
                  </pic:spPr>
                </pic:pic>
              </a:graphicData>
            </a:graphic>
          </wp:anchor>
        </w:drawing>
      </w:r>
    </w:p>
    <w:p>
      <w:pPr>
        <w:spacing w:after="0" w:line="70" w:lineRule="exact"/>
        <w:rPr>
          <w:sz w:val="20"/>
          <w:szCs w:val="20"/>
          <w:color w:val="auto"/>
        </w:rPr>
      </w:pPr>
    </w:p>
    <w:p>
      <w:pPr>
        <w:ind w:left="160" w:right="400"/>
        <w:spacing w:after="0" w:line="250" w:lineRule="auto"/>
        <w:rPr>
          <w:sz w:val="20"/>
          <w:szCs w:val="20"/>
          <w:color w:val="auto"/>
        </w:rPr>
      </w:pPr>
      <w:r>
        <w:rPr>
          <w:rFonts w:ascii="Times New Roman" w:cs="Times New Roman" w:eastAsia="Times New Roman" w:hAnsi="Times New Roman"/>
          <w:sz w:val="18"/>
          <w:szCs w:val="18"/>
          <w:color w:val="auto"/>
        </w:rPr>
        <w:t>Independent Lead Director</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Age 73</w:t>
      </w:r>
    </w:p>
    <w:p>
      <w:pPr>
        <w:spacing w:after="0" w:line="90" w:lineRule="exact"/>
        <w:rPr>
          <w:sz w:val="20"/>
          <w:szCs w:val="20"/>
          <w:color w:val="auto"/>
        </w:rPr>
      </w:pPr>
    </w:p>
    <w:p>
      <w:pPr>
        <w:ind w:left="160"/>
        <w:spacing w:after="0" w:line="279" w:lineRule="auto"/>
        <w:rPr>
          <w:sz w:val="20"/>
          <w:szCs w:val="20"/>
          <w:color w:val="auto"/>
        </w:rPr>
      </w:pPr>
      <w:r>
        <w:rPr>
          <w:rFonts w:ascii="Times New Roman" w:cs="Times New Roman" w:eastAsia="Times New Roman" w:hAnsi="Times New Roman"/>
          <w:sz w:val="17"/>
          <w:szCs w:val="17"/>
          <w:color w:val="auto"/>
        </w:rPr>
        <w:t>Audit Committee Chair and Financial Expert</w:t>
      </w:r>
    </w:p>
    <w:p>
      <w:pPr>
        <w:spacing w:after="0" w:line="32" w:lineRule="exact"/>
        <w:rPr>
          <w:sz w:val="20"/>
          <w:szCs w:val="20"/>
          <w:color w:val="auto"/>
        </w:rPr>
      </w:pPr>
    </w:p>
    <w:p>
      <w:pPr>
        <w:ind w:left="160" w:right="60"/>
        <w:spacing w:after="0" w:line="250" w:lineRule="auto"/>
        <w:rPr>
          <w:sz w:val="20"/>
          <w:szCs w:val="20"/>
          <w:color w:val="auto"/>
        </w:rPr>
      </w:pPr>
      <w:r>
        <w:rPr>
          <w:rFonts w:ascii="Times New Roman" w:cs="Times New Roman" w:eastAsia="Times New Roman" w:hAnsi="Times New Roman"/>
          <w:sz w:val="18"/>
          <w:szCs w:val="18"/>
          <w:color w:val="auto"/>
        </w:rPr>
        <w:t>Investment Committee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4472C4"/>
        </w:rPr>
        <w:t>THOMAS J. BRESNAN</w:t>
      </w:r>
    </w:p>
    <w:p>
      <w:pPr>
        <w:spacing w:after="0" w:line="99" w:lineRule="exact"/>
        <w:rPr>
          <w:sz w:val="20"/>
          <w:szCs w:val="20"/>
          <w:color w:val="auto"/>
        </w:rPr>
      </w:pPr>
    </w:p>
    <w:p>
      <w:pPr>
        <w:jc w:val="both"/>
        <w:ind w:right="1700"/>
        <w:spacing w:after="0" w:line="253" w:lineRule="auto"/>
        <w:rPr>
          <w:sz w:val="20"/>
          <w:szCs w:val="20"/>
          <w:color w:val="auto"/>
        </w:rPr>
      </w:pPr>
      <w:r>
        <w:rPr>
          <w:rFonts w:ascii="Times New Roman" w:cs="Times New Roman" w:eastAsia="Times New Roman" w:hAnsi="Times New Roman"/>
          <w:sz w:val="18"/>
          <w:szCs w:val="18"/>
          <w:color w:val="auto"/>
        </w:rPr>
        <w:t>Mr. Bresnan was appointed as the independent Lead Director of the Board of Chesapeake Utilities Corporation effective May 3, 2023. Mr. Bresnan, an entrepreneur and former public company executive, retired in 2023 as Chief Executive Officer and President of Denver Accounting Services, which Mr. Bresnan owned since 2014. Mr. Bresnan also owned Bresnan Enterprises, Inc. prior to its dissolution in 2023 and served as President of the Career School of the Rockies from 2012 to 2020. Mr. Bresnan served as President of Global LT, a language and cross-cultural training company, from 2017 until 2019 and has served as a member of its Board since 2014. From 2008-2012, Mr. Bresnan served as a majority stockholder, President and Chief Executive Officer of Schneider Sales Management, LLC. Mr. Bresnan previously served as a member of the Board, and President and Chief Executive Officer of New Horizons Worldwide, Inc., a publicly traded information technology training company. Mr. Bresnan also served as President of Capitol American Life Insurance, Chief Financial Officer at Capitol American Finance, and held positions at Arthur Andersen &amp; Co.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17145" cy="762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762635"/>
                    </a:xfrm>
                    <a:prstGeom prst="rect">
                      <a:avLst/>
                    </a:prstGeom>
                    <a:noFill/>
                  </pic:spPr>
                </pic:pic>
              </a:graphicData>
            </a:graphic>
          </wp:anchor>
        </w:drawing>
      </w:r>
    </w:p>
    <w:p>
      <w:pPr>
        <w:spacing w:after="0" w:line="101" w:lineRule="exact"/>
        <w:rPr>
          <w:sz w:val="20"/>
          <w:szCs w:val="20"/>
          <w:color w:val="auto"/>
        </w:rPr>
      </w:pPr>
    </w:p>
    <w:p>
      <w:pPr>
        <w:ind w:left="500" w:hanging="32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public company, leadership, technology, sales and marketing experience</w:t>
      </w:r>
    </w:p>
    <w:p>
      <w:pPr>
        <w:spacing w:after="0" w:line="117" w:lineRule="exact"/>
        <w:rPr>
          <w:rFonts w:ascii="Times New Roman" w:cs="Times New Roman" w:eastAsia="Times New Roman" w:hAnsi="Times New Roman"/>
          <w:sz w:val="18"/>
          <w:szCs w:val="18"/>
          <w:color w:val="auto"/>
        </w:rPr>
      </w:pPr>
    </w:p>
    <w:p>
      <w:pPr>
        <w:ind w:left="500" w:hanging="32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experience in acquisitions and the post integration process</w:t>
      </w:r>
    </w:p>
    <w:p>
      <w:pPr>
        <w:spacing w:after="0" w:line="117" w:lineRule="exact"/>
        <w:rPr>
          <w:rFonts w:ascii="Times New Roman" w:cs="Times New Roman" w:eastAsia="Times New Roman" w:hAnsi="Times New Roman"/>
          <w:sz w:val="18"/>
          <w:szCs w:val="18"/>
          <w:color w:val="auto"/>
        </w:rPr>
      </w:pPr>
    </w:p>
    <w:p>
      <w:pPr>
        <w:ind w:left="500" w:hanging="32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Accounting and Audit Committee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41916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9163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560"/>
            <w:col w:w="8820"/>
          </w:cols>
          <w:pgMar w:left="320" w:top="948" w:right="339" w:bottom="112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112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362585</wp:posOffset>
            </wp:positionH>
            <wp:positionV relativeFrom="page">
              <wp:posOffset>929005</wp:posOffset>
            </wp:positionV>
            <wp:extent cx="1062990" cy="1397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344" w:lineRule="auto"/>
        <w:rPr>
          <w:sz w:val="20"/>
          <w:szCs w:val="20"/>
          <w:color w:val="auto"/>
        </w:rPr>
      </w:pPr>
      <w:r>
        <w:rPr>
          <w:rFonts w:ascii="Times New Roman" w:cs="Times New Roman" w:eastAsia="Times New Roman" w:hAnsi="Times New Roman"/>
          <w:sz w:val="18"/>
          <w:szCs w:val="18"/>
          <w:color w:val="auto"/>
        </w:rPr>
        <w:t>Director since 2014 Independent Director Age 57</w:t>
      </w:r>
    </w:p>
    <w:p>
      <w:pPr>
        <w:spacing w:after="0" w:line="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Audit Committee Member and Financial Expert</w:t>
      </w:r>
    </w:p>
    <w:p>
      <w:pPr>
        <w:spacing w:after="0" w:line="3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Compensation Committee 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9"/>
          <w:szCs w:val="29"/>
          <w:color w:val="4472C4"/>
        </w:rPr>
        <w:t>RONALD G. FORSYTHE, JR.</w:t>
      </w:r>
    </w:p>
    <w:p>
      <w:pPr>
        <w:spacing w:after="0" w:line="99" w:lineRule="exact"/>
        <w:rPr>
          <w:sz w:val="20"/>
          <w:szCs w:val="20"/>
          <w:color w:val="auto"/>
        </w:rPr>
      </w:pPr>
    </w:p>
    <w:p>
      <w:pPr>
        <w:jc w:val="both"/>
        <w:ind w:right="1800"/>
        <w:spacing w:after="0" w:line="253" w:lineRule="auto"/>
        <w:rPr>
          <w:sz w:val="20"/>
          <w:szCs w:val="20"/>
          <w:color w:val="auto"/>
        </w:rPr>
      </w:pPr>
      <w:r>
        <w:rPr>
          <w:rFonts w:ascii="Times New Roman" w:cs="Times New Roman" w:eastAsia="Times New Roman" w:hAnsi="Times New Roman"/>
          <w:sz w:val="18"/>
          <w:szCs w:val="18"/>
          <w:color w:val="auto"/>
        </w:rPr>
        <w:t>Dr. Forsythe has served as Chief Executive Officer of Qlarant Corporation, and its predecessor company Quality Health Strategies Corporation, since 2015. Dr. Forsythe served as President of Quality Health Strategies (2015-2018) and as its Chief Operating Officer (2012-2015). Dr. Forsythe previously served as Chief Information Officer and Vice President of Technology and Commercialization at the University of Maryland Eastern Shore, and as an IT consultant for a large water and wastewater utility. Dr. Forsythe formerly served as a member of the Regional Advisory Board of a predecessor company of Truist Financial, Board of the Peninsula Regional Medical Center Foundation, and on the Higher Education Advisory Boards for Sprint Corporation and Gateway Computers. Dr. Forsythe also previously served as a member of Quality Health Foundation and Horizons® at the Salisbury School. Dr. Forsythe is a NACD Board Leadership Fellow and was formerly recognized by Savoy Magazine as one of the Most Influential Black Corporate Directors.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-13970</wp:posOffset>
            </wp:positionV>
            <wp:extent cx="17145" cy="874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74395"/>
                    </a:xfrm>
                    <a:prstGeom prst="rect">
                      <a:avLst/>
                    </a:prstGeom>
                    <a:noFill/>
                  </pic:spPr>
                </pic:pic>
              </a:graphicData>
            </a:graphic>
          </wp:anchor>
        </w:drawing>
      </w:r>
    </w:p>
    <w:p>
      <w:pPr>
        <w:spacing w:after="0" w:line="101" w:lineRule="exact"/>
        <w:rPr>
          <w:sz w:val="20"/>
          <w:szCs w:val="20"/>
          <w:color w:val="auto"/>
        </w:rPr>
      </w:pPr>
    </w:p>
    <w:p>
      <w:pPr>
        <w:ind w:left="480" w:right="1860" w:hanging="326"/>
        <w:spacing w:after="0" w:line="282" w:lineRule="auto"/>
        <w:tabs>
          <w:tab w:leader="none" w:pos="4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leadership, technology including cybersecurity, organizational positioning, and energy</w:t>
      </w:r>
    </w:p>
    <w:p>
      <w:pPr>
        <w:spacing w:after="0" w:line="53"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knowledge of markets throughout the Delmarva Peninsula</w:t>
      </w:r>
    </w:p>
    <w:p>
      <w:pPr>
        <w:spacing w:after="0" w:line="117"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Audit Committee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163195</wp:posOffset>
            </wp:positionV>
            <wp:extent cx="39687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520"/>
            <w:col w:w="8560"/>
          </w:cols>
          <w:pgMar w:left="580" w:top="14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344" w:lineRule="auto"/>
        <w:rPr>
          <w:sz w:val="20"/>
          <w:szCs w:val="20"/>
          <w:color w:val="auto"/>
        </w:rPr>
      </w:pPr>
      <w:r>
        <w:rPr>
          <w:rFonts w:ascii="Times New Roman" w:cs="Times New Roman" w:eastAsia="Times New Roman" w:hAnsi="Times New Roman"/>
          <w:sz w:val="18"/>
          <w:szCs w:val="18"/>
          <w:color w:val="auto"/>
        </w:rPr>
        <w:t>Director since 2022 Independent Director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-2301875</wp:posOffset>
            </wp:positionV>
            <wp:extent cx="1028700" cy="1474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147447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color w:val="auto"/>
        </w:rPr>
        <w:t>Compensation Committee Member</w:t>
      </w:r>
    </w:p>
    <w:p>
      <w:pPr>
        <w:spacing w:after="0" w:line="5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Investment Committee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4472C4"/>
        </w:rPr>
        <w:t>SHEREE M. PETRONE</w:t>
      </w:r>
    </w:p>
    <w:p>
      <w:pPr>
        <w:spacing w:after="0" w:line="99" w:lineRule="exact"/>
        <w:rPr>
          <w:sz w:val="20"/>
          <w:szCs w:val="20"/>
          <w:color w:val="auto"/>
        </w:rPr>
      </w:pPr>
    </w:p>
    <w:p>
      <w:pPr>
        <w:jc w:val="both"/>
        <w:ind w:right="1800"/>
        <w:spacing w:after="0" w:line="252" w:lineRule="auto"/>
        <w:rPr>
          <w:sz w:val="20"/>
          <w:szCs w:val="20"/>
          <w:color w:val="auto"/>
        </w:rPr>
      </w:pPr>
      <w:r>
        <w:rPr>
          <w:rFonts w:ascii="Times New Roman" w:cs="Times New Roman" w:eastAsia="Times New Roman" w:hAnsi="Times New Roman"/>
          <w:sz w:val="18"/>
          <w:szCs w:val="18"/>
          <w:color w:val="auto"/>
        </w:rPr>
        <w:t>Ms. Petrone served as Executive Vice President and head of the retail electricity business of Dynegy Inc., a major national power company, until her retirement in 2018. Prior to Dynegy, Ms. Petrone served as vice president of commercial and retail divisions at Exelon and in financial roles at PECO, an Exelon company. Ms. Petrone also previously served in management positions at Trigen Energy and Westinghouse. Ms. Petrone currently serves as President of Atwater Advisory where Ms. Petrone focuses on strategic growth strategies and value creation. Ms. Petrone has deep experience across the entire value chain, including management, business development and customer service in competitive power generation markets and regulated transmission and distribution businesses. Ms. Petrone serves as a Trustee and Chair of the Governance Committee of Magee Rehabilitation Hospital Foundation and past Chair of its Strategic Planning Committee. Ms. Petrone is a member of The Forum of Executive Women and was recognized in its Women in Leadership 2024 publication. Ms. Petrone is also a member of the Women’s Council on Energy and the Environment in Washington, D.C., and Alliance Française de Philadelphie where Ms. Petrone also serves as President and previously served as Treasurer. From time to time, Ms. Petrone serves as an executive mentor at the University of Delaware’s Alfred Lerner College of Business &amp; Economics.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-73660</wp:posOffset>
            </wp:positionV>
            <wp:extent cx="17145" cy="934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934085"/>
                    </a:xfrm>
                    <a:prstGeom prst="rect">
                      <a:avLst/>
                    </a:prstGeom>
                    <a:noFill/>
                  </pic:spPr>
                </pic:pic>
              </a:graphicData>
            </a:graphic>
          </wp:anchor>
        </w:drawing>
      </w:r>
    </w:p>
    <w:p>
      <w:pPr>
        <w:spacing w:after="0" w:line="101" w:lineRule="exact"/>
        <w:rPr>
          <w:sz w:val="20"/>
          <w:szCs w:val="20"/>
          <w:color w:val="auto"/>
        </w:rPr>
      </w:pPr>
    </w:p>
    <w:p>
      <w:pPr>
        <w:ind w:left="480" w:right="2000" w:hanging="326"/>
        <w:spacing w:after="0" w:line="282" w:lineRule="auto"/>
        <w:tabs>
          <w:tab w:leader="none" w:pos="4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operations leadership with extensive experience in the energy industry, from power generation to the customer experience</w:t>
      </w:r>
    </w:p>
    <w:p>
      <w:pPr>
        <w:spacing w:after="0" w:line="53"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in finance, customer service, and business development integration</w:t>
      </w:r>
    </w:p>
    <w:p>
      <w:pPr>
        <w:spacing w:after="0" w:line="117"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knowledge of the Pennsylvania energy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163195</wp:posOffset>
            </wp:positionV>
            <wp:extent cx="39687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520"/>
            <w:col w:w="8560"/>
          </w:cols>
          <w:pgMar w:left="580" w:top="14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43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color w:val="auto"/>
        </w:rPr>
        <w:t>CONTINUING DIRECTORS - CLASS I - TERMS EXPIRE IN 2027</w:t>
      </w:r>
    </w:p>
    <w:p>
      <w:pPr>
        <w:sectPr>
          <w:pgSz w:w="11900" w:h="16838" w:orient="portrait"/>
          <w:cols w:equalWidth="0" w:num="1">
            <w:col w:w="11240"/>
          </w:cols>
          <w:pgMar w:left="320" w:top="948" w:right="339"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right="360"/>
        <w:spacing w:after="0" w:line="344" w:lineRule="auto"/>
        <w:rPr>
          <w:sz w:val="20"/>
          <w:szCs w:val="20"/>
          <w:color w:val="auto"/>
        </w:rPr>
      </w:pPr>
      <w:r>
        <w:rPr>
          <w:rFonts w:ascii="Times New Roman" w:cs="Times New Roman" w:eastAsia="Times New Roman" w:hAnsi="Times New Roman"/>
          <w:sz w:val="18"/>
          <w:szCs w:val="18"/>
          <w:color w:val="auto"/>
        </w:rPr>
        <w:t>Director since 2021 Independent Director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-1993265</wp:posOffset>
            </wp:positionV>
            <wp:extent cx="1148715" cy="1268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8715" cy="1268730"/>
                    </a:xfrm>
                    <a:prstGeom prst="rect">
                      <a:avLst/>
                    </a:prstGeom>
                    <a:noFill/>
                  </pic:spPr>
                </pic:pic>
              </a:graphicData>
            </a:graphic>
          </wp:anchor>
        </w:drawing>
      </w:r>
    </w:p>
    <w:p>
      <w:pPr>
        <w:ind w:left="260"/>
        <w:spacing w:after="0" w:line="250" w:lineRule="auto"/>
        <w:rPr>
          <w:sz w:val="20"/>
          <w:szCs w:val="20"/>
          <w:color w:val="auto"/>
        </w:rPr>
      </w:pPr>
      <w:r>
        <w:rPr>
          <w:rFonts w:ascii="Times New Roman" w:cs="Times New Roman" w:eastAsia="Times New Roman" w:hAnsi="Times New Roman"/>
          <w:sz w:val="18"/>
          <w:szCs w:val="18"/>
          <w:color w:val="auto"/>
        </w:rPr>
        <w:t>Compensation Committee Chair</w:t>
      </w:r>
    </w:p>
    <w:p>
      <w:pPr>
        <w:spacing w:after="0" w:line="55" w:lineRule="exact"/>
        <w:rPr>
          <w:sz w:val="20"/>
          <w:szCs w:val="20"/>
          <w:color w:val="auto"/>
        </w:rPr>
      </w:pPr>
    </w:p>
    <w:p>
      <w:pPr>
        <w:ind w:left="260" w:right="260"/>
        <w:spacing w:after="0" w:line="279" w:lineRule="auto"/>
        <w:rPr>
          <w:sz w:val="20"/>
          <w:szCs w:val="20"/>
          <w:color w:val="auto"/>
        </w:rPr>
      </w:pPr>
      <w:r>
        <w:rPr>
          <w:rFonts w:ascii="Times New Roman" w:cs="Times New Roman" w:eastAsia="Times New Roman" w:hAnsi="Times New Roman"/>
          <w:sz w:val="17"/>
          <w:szCs w:val="17"/>
          <w:color w:val="auto"/>
        </w:rPr>
        <w:t>Corporate Governance Committee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4472C4"/>
        </w:rPr>
        <w:t>LISA G. BISACCIA</w:t>
      </w:r>
    </w:p>
    <w:p>
      <w:pPr>
        <w:spacing w:after="0" w:line="99" w:lineRule="exact"/>
        <w:rPr>
          <w:sz w:val="20"/>
          <w:szCs w:val="20"/>
          <w:color w:val="auto"/>
        </w:rPr>
      </w:pPr>
    </w:p>
    <w:p>
      <w:pPr>
        <w:jc w:val="both"/>
        <w:ind w:right="1780"/>
        <w:spacing w:after="0" w:line="252" w:lineRule="auto"/>
        <w:rPr>
          <w:sz w:val="20"/>
          <w:szCs w:val="20"/>
          <w:color w:val="auto"/>
        </w:rPr>
      </w:pPr>
      <w:r>
        <w:rPr>
          <w:rFonts w:ascii="Times New Roman" w:cs="Times New Roman" w:eastAsia="Times New Roman" w:hAnsi="Times New Roman"/>
          <w:sz w:val="18"/>
          <w:szCs w:val="18"/>
          <w:color w:val="auto"/>
        </w:rPr>
        <w:t>Ms. Bisaccia retired in 2021 as Executive Vice President and Chief Human Resources Officer of CVS Health. At CVS Health, Ms. Bisaccia focused on employee engagement, organizational culture, talent management and leadership development, integration of large-scale acquisitions, diversity and inclusion, and corporate social responsibility and philanthropy. Ms. Bisaccia is the Chair of the Board of Trustees of Trinity College, serves as a member of all Trinity College Board Committees, and serves as the Vice Chair of the National Board of Governors for the Boys and Girls Clubs of America and as Chair of its HR and Compensation Committee. Ms. Bisaccia formerly served as a Director of Aramark Corporation and a member of its Nominating and Corporate Governance Committee and Compensation and Human Resources Committee. Ms. Bisaccia previously served as National Chair for Go Red for Women, on the Board of Directors of the Human Resources Policy Association and the American Health Policy Institute, and as Vice Chair of the Center for Executive Compensation. Ms. Bisaccia was recognized in Women in Leadership 2024 published by The Forum of Executive Women and previously, in the Worldwide Top 100 Chief Human Resources Officer list published by TopCHRO.</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53975</wp:posOffset>
            </wp:positionV>
            <wp:extent cx="17145" cy="805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805815"/>
                    </a:xfrm>
                    <a:prstGeom prst="rect">
                      <a:avLst/>
                    </a:prstGeom>
                    <a:noFill/>
                  </pic:spPr>
                </pic:pic>
              </a:graphicData>
            </a:graphic>
          </wp:anchor>
        </w:drawing>
      </w:r>
    </w:p>
    <w:p>
      <w:pPr>
        <w:spacing w:after="0" w:line="101" w:lineRule="exact"/>
        <w:rPr>
          <w:sz w:val="20"/>
          <w:szCs w:val="20"/>
          <w:color w:val="auto"/>
        </w:rPr>
      </w:pPr>
    </w:p>
    <w:p>
      <w:pPr>
        <w:ind w:left="500" w:right="2400" w:hanging="333"/>
        <w:spacing w:after="0" w:line="28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expertise in compensation, benefits, and human capital management practices</w:t>
      </w:r>
    </w:p>
    <w:p>
      <w:pPr>
        <w:spacing w:after="0" w:line="53"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 in organizational culture and corporate social responsibility and philanthropy</w:t>
      </w:r>
    </w:p>
    <w:p>
      <w:pPr>
        <w:spacing w:after="0" w:line="117"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operations leadership in a regulated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39687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540"/>
            <w:col w:w="8560"/>
          </w:cols>
          <w:pgMar w:left="320" w:top="948" w:right="339" w:bottom="9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right="380"/>
        <w:spacing w:after="0" w:line="344" w:lineRule="auto"/>
        <w:rPr>
          <w:sz w:val="20"/>
          <w:szCs w:val="20"/>
          <w:color w:val="auto"/>
        </w:rPr>
      </w:pPr>
      <w:r>
        <w:rPr>
          <w:rFonts w:ascii="Times New Roman" w:cs="Times New Roman" w:eastAsia="Times New Roman" w:hAnsi="Times New Roman"/>
          <w:sz w:val="18"/>
          <w:szCs w:val="18"/>
          <w:color w:val="auto"/>
        </w:rPr>
        <w:t>Director since 2009 Independent Director 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-2147570</wp:posOffset>
            </wp:positionV>
            <wp:extent cx="1062990" cy="1423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2990" cy="1423035"/>
                    </a:xfrm>
                    <a:prstGeom prst="rect">
                      <a:avLst/>
                    </a:prstGeom>
                    <a:noFill/>
                  </pic:spPr>
                </pic:pic>
              </a:graphicData>
            </a:graphic>
          </wp:anchor>
        </w:drawing>
      </w:r>
    </w:p>
    <w:p>
      <w:pPr>
        <w:ind w:left="260" w:right="280"/>
        <w:spacing w:after="0" w:line="279" w:lineRule="auto"/>
        <w:rPr>
          <w:sz w:val="20"/>
          <w:szCs w:val="20"/>
          <w:color w:val="auto"/>
        </w:rPr>
      </w:pPr>
      <w:r>
        <w:rPr>
          <w:rFonts w:ascii="Times New Roman" w:cs="Times New Roman" w:eastAsia="Times New Roman" w:hAnsi="Times New Roman"/>
          <w:sz w:val="17"/>
          <w:szCs w:val="17"/>
          <w:color w:val="auto"/>
        </w:rPr>
        <w:t>Corporate Governance Committee Chair</w:t>
      </w:r>
    </w:p>
    <w:p>
      <w:pPr>
        <w:spacing w:after="0" w:line="32" w:lineRule="exact"/>
        <w:rPr>
          <w:sz w:val="20"/>
          <w:szCs w:val="20"/>
          <w:color w:val="auto"/>
        </w:rPr>
      </w:pPr>
    </w:p>
    <w:p>
      <w:pPr>
        <w:ind w:left="260"/>
        <w:spacing w:after="0" w:line="279" w:lineRule="auto"/>
        <w:rPr>
          <w:sz w:val="20"/>
          <w:szCs w:val="20"/>
          <w:color w:val="auto"/>
        </w:rPr>
      </w:pPr>
      <w:r>
        <w:rPr>
          <w:rFonts w:ascii="Times New Roman" w:cs="Times New Roman" w:eastAsia="Times New Roman" w:hAnsi="Times New Roman"/>
          <w:sz w:val="17"/>
          <w:szCs w:val="17"/>
          <w:color w:val="auto"/>
        </w:rPr>
        <w:t>Audit Committee Member and Financial Expert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4472C4"/>
        </w:rPr>
        <w:t>DENNIS S. HUDSON, III</w:t>
      </w:r>
    </w:p>
    <w:p>
      <w:pPr>
        <w:spacing w:after="0" w:line="99" w:lineRule="exact"/>
        <w:rPr>
          <w:sz w:val="20"/>
          <w:szCs w:val="20"/>
          <w:color w:val="auto"/>
        </w:rPr>
      </w:pPr>
    </w:p>
    <w:p>
      <w:pPr>
        <w:jc w:val="both"/>
        <w:ind w:right="1800"/>
        <w:spacing w:after="0" w:line="252" w:lineRule="auto"/>
        <w:rPr>
          <w:sz w:val="20"/>
          <w:szCs w:val="20"/>
          <w:color w:val="auto"/>
        </w:rPr>
      </w:pPr>
      <w:r>
        <w:rPr>
          <w:rFonts w:ascii="Times New Roman" w:cs="Times New Roman" w:eastAsia="Times New Roman" w:hAnsi="Times New Roman"/>
          <w:sz w:val="18"/>
          <w:szCs w:val="18"/>
          <w:color w:val="auto"/>
        </w:rPr>
        <w:t>Mr. Hudson served as the Executive Chairman of the Board of Seacoast Banking Corporation of Florida (“Seacoast”) and Seacoast National Bank (“Seacoast Bank”) from January 2021 until February 2022. Mr. Hudson served as Chairman of the Board of Seacoast (2005-2020) and a member of the Compensation Committee during 2025, and continues to serve as a member of the Board (since 1984), Chair of the Directors' Credit Risk Committee, and a member of the Corporate Development Committee. Mr. Hudson served as Chief Executive Officer of Seacoast (1998-2020) and Seacoast Bank (1992-2020), was the President and Chief Operating Officer of these entities, and held various other managerial positions. Mr. Hudson served as a Director and member of the Audit Committee of Florida Public Utilities Company prior to its acquisition by Chesapeake Utilities. Mr. Hudson serves on the Board of the Visiting Nurses Association of Florida. Mr. Hudson is a general partner of Sherwood Partners, Ltd., a family partnership. Mr. Hudson previously served as an independent Trustee, member of the Audit Committee, and Chair of the Nominating Committee of Penn Capital Funds, a member of the Board and Treasurer of the Community Foundation of Palm Beach and Martin Counties, a member of the Boards of Martin Health System, Helping People Succeed, and United Way of Martin County, Chair of the Economic Council of Martin County, and a member of the Miami Board of Directors of the Federal Reserve Bank of Atlanta.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-48260</wp:posOffset>
            </wp:positionV>
            <wp:extent cx="17145" cy="771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771525"/>
                    </a:xfrm>
                    <a:prstGeom prst="rect">
                      <a:avLst/>
                    </a:prstGeom>
                    <a:noFill/>
                  </pic:spPr>
                </pic:pic>
              </a:graphicData>
            </a:graphic>
          </wp:anchor>
        </w:drawing>
      </w:r>
    </w:p>
    <w:p>
      <w:pPr>
        <w:spacing w:after="0" w:line="101" w:lineRule="exact"/>
        <w:rPr>
          <w:sz w:val="20"/>
          <w:szCs w:val="20"/>
          <w:color w:val="auto"/>
        </w:rPr>
      </w:pPr>
    </w:p>
    <w:p>
      <w:pPr>
        <w:ind w:left="480" w:hanging="326"/>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public company, leadership, and banking experience</w:t>
      </w:r>
    </w:p>
    <w:p>
      <w:pPr>
        <w:spacing w:after="0" w:line="117"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knowledge of the Florida markets</w:t>
      </w:r>
    </w:p>
    <w:p>
      <w:pPr>
        <w:spacing w:after="0" w:line="117"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Audit Committee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163195</wp:posOffset>
            </wp:positionV>
            <wp:extent cx="3968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20"/>
            <w:col w:w="8560"/>
          </w:cols>
          <w:pgMar w:left="320" w:top="948" w:right="339" w:bottom="90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904"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5"/>
          <w:szCs w:val="25"/>
          <w:b w:val="1"/>
          <w:bCs w:val="1"/>
          <w:color w:val="auto"/>
        </w:rPr>
        <w:t>CONTINUING DIRECTORS - CLASS II - TERMS EXPIRE IN 2028</w:t>
      </w:r>
    </w:p>
    <w:p>
      <w:pPr>
        <w:spacing w:after="0" w:line="200" w:lineRule="exact"/>
        <w:rPr>
          <w:sz w:val="20"/>
          <w:szCs w:val="20"/>
          <w:color w:val="auto"/>
        </w:rPr>
      </w:pPr>
    </w:p>
    <w:p>
      <w:pPr>
        <w:spacing w:after="0" w:line="23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9"/>
          <w:szCs w:val="29"/>
          <w:color w:val="4472C4"/>
        </w:rPr>
        <w:t>JEFFRY M.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-207645</wp:posOffset>
            </wp:positionV>
            <wp:extent cx="1148715" cy="1457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8715" cy="1457325"/>
                    </a:xfrm>
                    <a:prstGeom prst="rect">
                      <a:avLst/>
                    </a:prstGeom>
                    <a:noFill/>
                  </pic:spPr>
                </pic:pic>
              </a:graphicData>
            </a:graphic>
          </wp:anchor>
        </w:drawing>
      </w:r>
    </w:p>
    <w:p>
      <w:pPr>
        <w:spacing w:after="0" w:line="79"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Householder was appointed as President and Chief Executive Officer of Chesapeake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Utilities Corporation effective January 1, 2019, and as Chair of the Board effective May 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Mr. Householder previously served as President of Florida Public Utilities Company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from  2010-2018.  In  2023,  under  Mr.  Householder’s  leadership,  Chesapeake  Utilities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Corporation  successfully  completed  the  acquisition  of  Florida  City  Gas,  the  largest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in the Company’s history, including more than doubling our customer base and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 infrastructure in the State of Florida. Mr. Householder has more than 40 years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experience in the energy industry and has served in leadership positions with TECO Energy</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Peoples Gas, West Florida Gas Company, Florida City Gas, and Tallahassee Utilities. Mr.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Householder is a member and also serves on the Boards of the American Gas Association, the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Edison Electric Institute, and the Southern Gas Association. Mr. Householder is a member of</w:t>
            </w:r>
          </w:p>
        </w:tc>
        <w:tc>
          <w:tcPr>
            <w:tcW w:w="0" w:type="dxa"/>
            <w:vAlign w:val="bottom"/>
          </w:tcPr>
          <w:p>
            <w:pPr>
              <w:spacing w:after="0"/>
              <w:rPr>
                <w:sz w:val="1"/>
                <w:szCs w:val="1"/>
                <w:color w:val="auto"/>
              </w:rPr>
            </w:pPr>
          </w:p>
        </w:tc>
      </w:tr>
      <w:tr>
        <w:trPr>
          <w:trHeight w:val="216"/>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 since 2019</w:t>
            </w: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Delaware Business Roundtable, which focuses on the business and economic climate of</w:t>
            </w:r>
          </w:p>
        </w:tc>
        <w:tc>
          <w:tcPr>
            <w:tcW w:w="0" w:type="dxa"/>
            <w:vAlign w:val="bottom"/>
          </w:tcPr>
          <w:p>
            <w:pPr>
              <w:spacing w:after="0"/>
              <w:rPr>
                <w:sz w:val="1"/>
                <w:szCs w:val="1"/>
                <w:color w:val="auto"/>
              </w:rPr>
            </w:pPr>
          </w:p>
        </w:tc>
      </w:tr>
      <w:tr>
        <w:trPr>
          <w:trHeight w:val="99"/>
        </w:trPr>
        <w:tc>
          <w:tcPr>
            <w:tcW w:w="2400" w:type="dxa"/>
            <w:vAlign w:val="bottom"/>
            <w:gridSpan w:val="2"/>
            <w:vMerge w:val="continue"/>
          </w:tcPr>
          <w:p>
            <w:pPr>
              <w:spacing w:after="0"/>
              <w:rPr>
                <w:sz w:val="8"/>
                <w:szCs w:val="8"/>
                <w:color w:val="auto"/>
              </w:rPr>
            </w:pPr>
          </w:p>
        </w:tc>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35"/>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6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00" w:type="dxa"/>
            <w:vAlign w:val="bottom"/>
            <w:gridSpan w:val="2"/>
            <w:vMerge w:val="continue"/>
          </w:tcPr>
          <w:p>
            <w:pPr>
              <w:spacing w:after="0"/>
              <w:rPr>
                <w:sz w:val="10"/>
                <w:szCs w:val="10"/>
                <w:color w:val="auto"/>
              </w:rPr>
            </w:pPr>
          </w:p>
        </w:tc>
        <w:tc>
          <w:tcPr>
            <w:tcW w:w="6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President and CEO,</w:t>
            </w:r>
          </w:p>
        </w:tc>
        <w:tc>
          <w:tcPr>
            <w:tcW w:w="160" w:type="dxa"/>
            <w:vAlign w:val="bottom"/>
          </w:tcPr>
          <w:p>
            <w:pPr>
              <w:spacing w:after="0"/>
              <w:rPr>
                <w:sz w:val="16"/>
                <w:szCs w:val="16"/>
                <w:color w:val="auto"/>
              </w:rPr>
            </w:pPr>
          </w:p>
        </w:tc>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Key Attributes and Skills:</w:t>
            </w:r>
          </w:p>
        </w:tc>
        <w:tc>
          <w:tcPr>
            <w:tcW w:w="0" w:type="dxa"/>
            <w:vAlign w:val="bottom"/>
          </w:tcPr>
          <w:p>
            <w:pPr>
              <w:spacing w:after="0"/>
              <w:rPr>
                <w:sz w:val="1"/>
                <w:szCs w:val="1"/>
                <w:color w:val="auto"/>
              </w:rPr>
            </w:pPr>
          </w:p>
        </w:tc>
      </w:tr>
      <w:tr>
        <w:trPr>
          <w:trHeight w:val="153"/>
        </w:trPr>
        <w:tc>
          <w:tcPr>
            <w:tcW w:w="2240" w:type="dxa"/>
            <w:vAlign w:val="bottom"/>
            <w:tcBorders>
              <w:right w:val="single" w:sz="8" w:color="6896C4"/>
            </w:tcBorders>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Chesapeake Utilities</w:t>
            </w:r>
          </w:p>
        </w:tc>
        <w:tc>
          <w:tcPr>
            <w:tcW w:w="160" w:type="dxa"/>
            <w:vAlign w:val="bottom"/>
          </w:tcPr>
          <w:p>
            <w:pPr>
              <w:spacing w:after="0"/>
              <w:rPr>
                <w:sz w:val="13"/>
                <w:szCs w:val="13"/>
                <w:color w:val="auto"/>
              </w:rPr>
            </w:pPr>
          </w:p>
        </w:tc>
        <w:tc>
          <w:tcPr>
            <w:tcW w:w="6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240" w:type="dxa"/>
            <w:vAlign w:val="bottom"/>
            <w:tcBorders>
              <w:right w:val="single" w:sz="8" w:color="6896C4"/>
            </w:tcBorders>
            <w:vMerge w:val="continue"/>
          </w:tcPr>
          <w:p>
            <w:pPr>
              <w:spacing w:after="0"/>
              <w:rPr>
                <w:sz w:val="3"/>
                <w:szCs w:val="3"/>
                <w:color w:val="auto"/>
              </w:rPr>
            </w:pPr>
          </w:p>
        </w:tc>
        <w:tc>
          <w:tcPr>
            <w:tcW w:w="160" w:type="dxa"/>
            <w:vAlign w:val="bottom"/>
          </w:tcPr>
          <w:p>
            <w:pPr>
              <w:spacing w:after="0"/>
              <w:rPr>
                <w:sz w:val="3"/>
                <w:szCs w:val="3"/>
                <w:color w:val="auto"/>
              </w:rPr>
            </w:pPr>
          </w:p>
        </w:tc>
        <w:tc>
          <w:tcPr>
            <w:tcW w:w="6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240" w:type="dxa"/>
            <w:vAlign w:val="bottom"/>
            <w:tcBorders>
              <w:right w:val="single" w:sz="8" w:color="6896C4"/>
            </w:tcBorders>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0" w:type="dxa"/>
            <w:vAlign w:val="bottom"/>
          </w:tcPr>
          <w:p>
            <w:pPr>
              <w:spacing w:after="0"/>
              <w:rPr>
                <w:sz w:val="24"/>
                <w:szCs w:val="24"/>
                <w:color w:val="auto"/>
              </w:rPr>
            </w:pPr>
          </w:p>
        </w:tc>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Extensive natural gas industry and regulatory experience</w:t>
            </w:r>
          </w:p>
        </w:tc>
        <w:tc>
          <w:tcPr>
            <w:tcW w:w="0" w:type="dxa"/>
            <w:vAlign w:val="bottom"/>
          </w:tcPr>
          <w:p>
            <w:pPr>
              <w:spacing w:after="0"/>
              <w:rPr>
                <w:sz w:val="1"/>
                <w:szCs w:val="1"/>
                <w:color w:val="auto"/>
              </w:rPr>
            </w:pPr>
          </w:p>
        </w:tc>
      </w:tr>
      <w:tr>
        <w:trPr>
          <w:trHeight w:val="243"/>
        </w:trPr>
        <w:tc>
          <w:tcPr>
            <w:tcW w:w="2240" w:type="dxa"/>
            <w:vAlign w:val="bottom"/>
            <w:tcBorders>
              <w:right w:val="single" w:sz="8" w:color="6896C4"/>
            </w:tcBorders>
          </w:tcPr>
          <w:p>
            <w:pPr>
              <w:spacing w:after="0"/>
              <w:rPr>
                <w:sz w:val="20"/>
                <w:szCs w:val="20"/>
                <w:color w:val="auto"/>
              </w:rPr>
            </w:pPr>
            <w:r>
              <w:rPr>
                <w:rFonts w:ascii="Times New Roman" w:cs="Times New Roman" w:eastAsia="Times New Roman" w:hAnsi="Times New Roman"/>
                <w:sz w:val="18"/>
                <w:szCs w:val="18"/>
                <w:color w:val="auto"/>
              </w:rPr>
              <w:t>Age 68</w:t>
            </w:r>
          </w:p>
        </w:tc>
        <w:tc>
          <w:tcPr>
            <w:tcW w:w="160" w:type="dxa"/>
            <w:vAlign w:val="bottom"/>
          </w:tcPr>
          <w:p>
            <w:pPr>
              <w:spacing w:after="0"/>
              <w:rPr>
                <w:sz w:val="21"/>
                <w:szCs w:val="21"/>
                <w:color w:val="auto"/>
              </w:rPr>
            </w:pPr>
          </w:p>
        </w:tc>
        <w:tc>
          <w:tcPr>
            <w:tcW w:w="6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   Proven leadership capabilities and strategic foresight</w:t>
            </w:r>
          </w:p>
        </w:tc>
        <w:tc>
          <w:tcPr>
            <w:tcW w:w="0" w:type="dxa"/>
            <w:vAlign w:val="bottom"/>
          </w:tcPr>
          <w:p>
            <w:pPr>
              <w:spacing w:after="0"/>
              <w:rPr>
                <w:sz w:val="1"/>
                <w:szCs w:val="1"/>
                <w:color w:val="auto"/>
              </w:rPr>
            </w:pPr>
          </w:p>
        </w:tc>
      </w:tr>
      <w:tr>
        <w:trPr>
          <w:trHeight w:val="81"/>
        </w:trPr>
        <w:tc>
          <w:tcPr>
            <w:tcW w:w="2240" w:type="dxa"/>
            <w:vAlign w:val="bottom"/>
            <w:tcBorders>
              <w:right w:val="single" w:sz="8" w:color="6896C4"/>
            </w:tcBorders>
            <w:vMerge w:val="restart"/>
          </w:tcPr>
          <w:p>
            <w:pPr>
              <w:spacing w:after="0"/>
              <w:rPr>
                <w:sz w:val="20"/>
                <w:szCs w:val="20"/>
                <w:color w:val="auto"/>
              </w:rPr>
            </w:pPr>
            <w:r>
              <w:rPr>
                <w:rFonts w:ascii="Times New Roman" w:cs="Times New Roman" w:eastAsia="Times New Roman" w:hAnsi="Times New Roman"/>
                <w:sz w:val="18"/>
                <w:szCs w:val="18"/>
                <w:color w:val="auto"/>
              </w:rPr>
              <w:t>Investment Committee</w:t>
            </w:r>
          </w:p>
        </w:tc>
        <w:tc>
          <w:tcPr>
            <w:tcW w:w="160" w:type="dxa"/>
            <w:vAlign w:val="bottom"/>
          </w:tcPr>
          <w:p>
            <w:pPr>
              <w:spacing w:after="0"/>
              <w:rPr>
                <w:sz w:val="7"/>
                <w:szCs w:val="7"/>
                <w:color w:val="auto"/>
              </w:rPr>
            </w:pPr>
          </w:p>
        </w:tc>
        <w:tc>
          <w:tcPr>
            <w:tcW w:w="6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240" w:type="dxa"/>
            <w:vAlign w:val="bottom"/>
            <w:tcBorders>
              <w:right w:val="single" w:sz="8" w:color="6896C4"/>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   Knowledge and insight of the business and economic climates in our service territories</w:t>
            </w:r>
          </w:p>
        </w:tc>
        <w:tc>
          <w:tcPr>
            <w:tcW w:w="0" w:type="dxa"/>
            <w:vAlign w:val="bottom"/>
          </w:tcPr>
          <w:p>
            <w:pPr>
              <w:spacing w:after="0"/>
              <w:rPr>
                <w:sz w:val="1"/>
                <w:szCs w:val="1"/>
                <w:color w:val="auto"/>
              </w:rPr>
            </w:pPr>
          </w:p>
        </w:tc>
      </w:tr>
      <w:tr>
        <w:trPr>
          <w:trHeight w:val="153"/>
        </w:trPr>
        <w:tc>
          <w:tcPr>
            <w:tcW w:w="2240" w:type="dxa"/>
            <w:vAlign w:val="bottom"/>
            <w:tcBorders>
              <w:right w:val="single" w:sz="8" w:color="6896C4"/>
            </w:tcBorders>
            <w:vMerge w:val="restart"/>
          </w:tcPr>
          <w:p>
            <w:pPr>
              <w:spacing w:after="0"/>
              <w:rPr>
                <w:sz w:val="20"/>
                <w:szCs w:val="20"/>
                <w:color w:val="auto"/>
              </w:rPr>
            </w:pPr>
            <w:r>
              <w:rPr>
                <w:rFonts w:ascii="Times New Roman" w:cs="Times New Roman" w:eastAsia="Times New Roman" w:hAnsi="Times New Roman"/>
                <w:sz w:val="18"/>
                <w:szCs w:val="18"/>
                <w:color w:val="auto"/>
              </w:rPr>
              <w:t>Chair</w:t>
            </w:r>
          </w:p>
        </w:tc>
        <w:tc>
          <w:tcPr>
            <w:tcW w:w="160" w:type="dxa"/>
            <w:vAlign w:val="bottom"/>
          </w:tcPr>
          <w:p>
            <w:pPr>
              <w:spacing w:after="0"/>
              <w:rPr>
                <w:sz w:val="13"/>
                <w:szCs w:val="13"/>
                <w:color w:val="auto"/>
              </w:rPr>
            </w:pPr>
          </w:p>
        </w:tc>
        <w:tc>
          <w:tcPr>
            <w:tcW w:w="6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40" w:type="dxa"/>
            <w:vAlign w:val="bottom"/>
            <w:tcBorders>
              <w:right w:val="single" w:sz="8" w:color="6896C4"/>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60" w:type="dxa"/>
            <w:vAlign w:val="bottom"/>
            <w:tcBorders>
              <w:bottom w:val="single" w:sz="8" w:color="6896C4"/>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right="180"/>
        <w:spacing w:after="0" w:line="344" w:lineRule="auto"/>
        <w:rPr>
          <w:sz w:val="20"/>
          <w:szCs w:val="20"/>
          <w:color w:val="auto"/>
        </w:rPr>
      </w:pPr>
      <w:r>
        <w:rPr>
          <w:rFonts w:ascii="Times New Roman" w:cs="Times New Roman" w:eastAsia="Times New Roman" w:hAnsi="Times New Roman"/>
          <w:sz w:val="18"/>
          <w:szCs w:val="18"/>
          <w:color w:val="auto"/>
        </w:rPr>
        <w:t>Director since 2020 Independent Director 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-2241550</wp:posOffset>
            </wp:positionV>
            <wp:extent cx="1062990" cy="1491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2990" cy="1491615"/>
                    </a:xfrm>
                    <a:prstGeom prst="rect">
                      <a:avLst/>
                    </a:prstGeom>
                    <a:noFill/>
                  </pic:spPr>
                </pic:pic>
              </a:graphicData>
            </a:graphic>
          </wp:anchor>
        </w:drawing>
      </w:r>
    </w:p>
    <w:p>
      <w:pPr>
        <w:ind w:left="260" w:right="80"/>
        <w:spacing w:after="0" w:line="279" w:lineRule="auto"/>
        <w:rPr>
          <w:sz w:val="20"/>
          <w:szCs w:val="20"/>
          <w:color w:val="auto"/>
        </w:rPr>
      </w:pPr>
      <w:r>
        <w:rPr>
          <w:rFonts w:ascii="Times New Roman" w:cs="Times New Roman" w:eastAsia="Times New Roman" w:hAnsi="Times New Roman"/>
          <w:sz w:val="17"/>
          <w:szCs w:val="17"/>
          <w:color w:val="auto"/>
        </w:rPr>
        <w:t>Corporate Governance Committee Member</w:t>
      </w:r>
    </w:p>
    <w:p>
      <w:pPr>
        <w:spacing w:after="0" w:line="32" w:lineRule="exact"/>
        <w:rPr>
          <w:sz w:val="20"/>
          <w:szCs w:val="20"/>
          <w:color w:val="auto"/>
        </w:rPr>
      </w:pPr>
    </w:p>
    <w:p>
      <w:pPr>
        <w:ind w:left="260" w:right="60"/>
        <w:spacing w:after="0" w:line="250" w:lineRule="auto"/>
        <w:rPr>
          <w:sz w:val="20"/>
          <w:szCs w:val="20"/>
          <w:color w:val="auto"/>
        </w:rPr>
      </w:pPr>
      <w:r>
        <w:rPr>
          <w:rFonts w:ascii="Times New Roman" w:cs="Times New Roman" w:eastAsia="Times New Roman" w:hAnsi="Times New Roman"/>
          <w:sz w:val="18"/>
          <w:szCs w:val="18"/>
          <w:color w:val="auto"/>
        </w:rPr>
        <w:t>Investment Committee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4472C4"/>
        </w:rPr>
        <w:t>LILA A. JABER</w:t>
      </w:r>
    </w:p>
    <w:p>
      <w:pPr>
        <w:spacing w:after="0" w:line="99" w:lineRule="exact"/>
        <w:rPr>
          <w:sz w:val="20"/>
          <w:szCs w:val="20"/>
          <w:color w:val="auto"/>
        </w:rPr>
      </w:pPr>
    </w:p>
    <w:p>
      <w:pPr>
        <w:jc w:val="both"/>
        <w:ind w:right="1800"/>
        <w:spacing w:after="0" w:line="242" w:lineRule="auto"/>
        <w:rPr>
          <w:sz w:val="20"/>
          <w:szCs w:val="20"/>
          <w:color w:val="auto"/>
        </w:rPr>
      </w:pPr>
      <w:r>
        <w:rPr>
          <w:rFonts w:ascii="Times New Roman" w:cs="Times New Roman" w:eastAsia="Times New Roman" w:hAnsi="Times New Roman"/>
          <w:sz w:val="18"/>
          <w:szCs w:val="18"/>
          <w:color w:val="auto"/>
        </w:rPr>
        <w:t>Ms. Jaber is Owner and President of Jaber Group Inc. where Ms. Jaber focuses and consults on business, regulatory, and economic development issues. Ms. Jaber is a managing member of Maclay Investments, L.L.C. With 30 years of expertise, Ms. Jaber retired in 2019 from Gunster Yoakley &amp; Stewart as Regional Managing Shareholder and leader of a statewide regulatory and legislative government affairs practice. Ms. Jaber served two terms as both Commissioner and Chair of the Florida Public Service Commission (1995-2005) overseeing the state’s economic regulatory policy and procedures for the energy, natural gas, water, and telecommunications industries. Ms. Jaber is the architect of Florida’s Women in Energy Leadership Forum and The Leadership Academy for Women in Energy and Water. Ms. Jaber currently serves on the Board of Advisors of HData, Inc., a privately held regulatory intelligence corporation, and previously served on the Board of Corix Group of Companies, including as a member of its HR Committee (2020-2024). Since 2021, Ms. Jaber has been recognized by the Florida Trend as one of Florida's Most Influential Leaders (Energy) and was recognized in Women in Leadership 2024 published by The Forum of Executive Women. Ms. Jaber serves as a trustee of Stetson University and Chair of its Committee on Trusteeship. Ms. Jaber previously served as Chair of Leadership Florida, an Advisory Board member and Vice-Chair of Florida Civic Advance, Vice-Chair and founding member of the Big Bend Minority Chamber of Commerce, and inaugural chair of the City of Tallahassee’s Independent Ethics Board. Ms. Jaber is the recipient of The News Service of Florida's 2025 Florida Above and Beyond award.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Attributes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-99695</wp:posOffset>
            </wp:positionV>
            <wp:extent cx="17145" cy="9944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994410"/>
                    </a:xfrm>
                    <a:prstGeom prst="rect">
                      <a:avLst/>
                    </a:prstGeom>
                    <a:noFill/>
                  </pic:spPr>
                </pic:pic>
              </a:graphicData>
            </a:graphic>
          </wp:anchor>
        </w:drawing>
      </w:r>
    </w:p>
    <w:p>
      <w:pPr>
        <w:spacing w:after="0" w:line="61" w:lineRule="exact"/>
        <w:rPr>
          <w:sz w:val="20"/>
          <w:szCs w:val="20"/>
          <w:color w:val="auto"/>
        </w:rPr>
      </w:pPr>
    </w:p>
    <w:p>
      <w:pPr>
        <w:ind w:left="480" w:hanging="326"/>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experience in strategy, governance, ethics, and government affairs</w:t>
      </w:r>
    </w:p>
    <w:p>
      <w:pPr>
        <w:spacing w:after="0" w:line="76" w:lineRule="exact"/>
        <w:rPr>
          <w:rFonts w:ascii="Times New Roman" w:cs="Times New Roman" w:eastAsia="Times New Roman" w:hAnsi="Times New Roman"/>
          <w:sz w:val="18"/>
          <w:szCs w:val="18"/>
          <w:color w:val="auto"/>
        </w:rPr>
      </w:pPr>
    </w:p>
    <w:p>
      <w:pPr>
        <w:ind w:left="480" w:hanging="326"/>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In-depth knowledge of the Florida markets</w:t>
      </w:r>
    </w:p>
    <w:p>
      <w:pPr>
        <w:spacing w:after="0" w:line="76" w:lineRule="exact"/>
        <w:rPr>
          <w:rFonts w:ascii="Times New Roman" w:cs="Times New Roman" w:eastAsia="Times New Roman" w:hAnsi="Times New Roman"/>
          <w:sz w:val="18"/>
          <w:szCs w:val="18"/>
          <w:color w:val="auto"/>
        </w:rPr>
      </w:pPr>
    </w:p>
    <w:p>
      <w:pPr>
        <w:ind w:left="480" w:right="1820" w:hanging="326"/>
        <w:spacing w:after="0" w:line="289" w:lineRule="auto"/>
        <w:tabs>
          <w:tab w:leader="none" w:pos="4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In-depth knowledge of the energy industry and regulatory policy. Recognized as one of Florida Trend's 500 Influential Leaders in Florida (Energy), and for empowering diverse leaders, including as founder of Florida's Women in Energy Leadership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94615</wp:posOffset>
            </wp:positionV>
            <wp:extent cx="39687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560"/>
          </w:cols>
          <w:pgMar w:left="320" w:top="9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type w:val="continuous"/>
        </w:sectPr>
      </w:pPr>
    </w:p>
    <w:bookmarkStart w:id="15" w:name="page16"/>
    <w:bookmarkEnd w:id="15"/>
    <w:p>
      <w:pPr>
        <w:jc w:val="center"/>
        <w:ind w:left="220"/>
        <w:spacing w:after="0"/>
        <w:rPr>
          <w:sz w:val="20"/>
          <w:szCs w:val="20"/>
          <w:color w:val="auto"/>
        </w:rPr>
      </w:pPr>
      <w:r>
        <w:rPr>
          <w:rFonts w:ascii="Times New Roman" w:cs="Times New Roman" w:eastAsia="Times New Roman" w:hAnsi="Times New Roman"/>
          <w:sz w:val="24"/>
          <w:szCs w:val="24"/>
          <w:b w:val="1"/>
          <w:bCs w:val="1"/>
          <w:color w:val="auto"/>
        </w:rPr>
        <w:t>Proposal</w:t>
      </w:r>
    </w:p>
    <w:p>
      <w:pPr>
        <w:spacing w:after="0" w:line="58"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86"/>
          <w:szCs w:val="86"/>
          <w:b w:val="1"/>
          <w:bCs w:val="1"/>
          <w:color w:val="auto"/>
        </w:rPr>
        <w:t>2</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340"/>
        <w:spacing w:after="0" w:line="287" w:lineRule="auto"/>
        <w:rPr>
          <w:sz w:val="20"/>
          <w:szCs w:val="20"/>
          <w:color w:val="auto"/>
        </w:rPr>
      </w:pPr>
      <w:r>
        <w:rPr>
          <w:rFonts w:ascii="Times New Roman" w:cs="Times New Roman" w:eastAsia="Times New Roman" w:hAnsi="Times New Roman"/>
          <w:sz w:val="22"/>
          <w:szCs w:val="22"/>
          <w:b w:val="1"/>
          <w:bCs w:val="1"/>
          <w:color w:val="auto"/>
        </w:rPr>
        <w:t>NON-BINDING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-449580</wp:posOffset>
            </wp:positionV>
            <wp:extent cx="6172200" cy="883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883285"/>
                    </a:xfrm>
                    <a:prstGeom prst="rect">
                      <a:avLst/>
                    </a:prstGeom>
                    <a:noFill/>
                  </pic:spPr>
                </pic:pic>
              </a:graphicData>
            </a:graphic>
          </wp:anchor>
        </w:drawing>
      </w:r>
    </w:p>
    <w:p>
      <w:pPr>
        <w:spacing w:after="0" w:line="9" w:lineRule="exact"/>
        <w:rPr>
          <w:sz w:val="20"/>
          <w:szCs w:val="20"/>
          <w:color w:val="auto"/>
        </w:rPr>
      </w:pPr>
    </w:p>
    <w:p>
      <w:pPr>
        <w:ind w:right="1920"/>
        <w:spacing w:after="0" w:line="275" w:lineRule="auto"/>
        <w:rPr>
          <w:sz w:val="20"/>
          <w:szCs w:val="20"/>
          <w:color w:val="auto"/>
        </w:rPr>
      </w:pPr>
      <w:r>
        <w:rPr>
          <w:rFonts w:ascii="Times New Roman" w:cs="Times New Roman" w:eastAsia="Times New Roman" w:hAnsi="Times New Roman"/>
          <w:sz w:val="22"/>
          <w:szCs w:val="22"/>
          <w:b w:val="1"/>
          <w:bCs w:val="1"/>
          <w:color w:val="0067A6"/>
        </w:rPr>
        <w:t xml:space="preserve">The Board recommends that stockholders vote </w:t>
      </w:r>
      <w:r>
        <w:rPr>
          <w:rFonts w:ascii="Times New Roman" w:cs="Times New Roman" w:eastAsia="Times New Roman" w:hAnsi="Times New Roman"/>
          <w:sz w:val="22"/>
          <w:szCs w:val="22"/>
          <w:b w:val="1"/>
          <w:bCs w:val="1"/>
          <w:u w:val="single" w:color="auto"/>
          <w:color w:val="0067A6"/>
        </w:rPr>
        <w:t>FOR</w:t>
      </w:r>
      <w:r>
        <w:rPr>
          <w:rFonts w:ascii="Times New Roman" w:cs="Times New Roman" w:eastAsia="Times New Roman" w:hAnsi="Times New Roman"/>
          <w:sz w:val="22"/>
          <w:szCs w:val="22"/>
          <w:b w:val="1"/>
          <w:bCs w:val="1"/>
          <w:color w:val="0067A6"/>
        </w:rPr>
        <w:t xml:space="preserve"> the approval of the compensation of the Company's NEOs.</w:t>
      </w:r>
    </w:p>
    <w:p>
      <w:pPr>
        <w:spacing w:after="0" w:line="203" w:lineRule="exact"/>
        <w:rPr>
          <w:sz w:val="20"/>
          <w:szCs w:val="20"/>
          <w:color w:val="auto"/>
        </w:rPr>
      </w:pPr>
    </w:p>
    <w:p>
      <w:pPr>
        <w:sectPr>
          <w:pgSz w:w="11900" w:h="16838" w:orient="portrait"/>
          <w:cols w:equalWidth="0" w:num="2">
            <w:col w:w="1160" w:space="220"/>
            <w:col w:w="9860"/>
          </w:cols>
          <w:pgMar w:left="320" w:top="988"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Information. </w:t>
      </w:r>
      <w:r>
        <w:rPr>
          <w:rFonts w:ascii="Times New Roman" w:cs="Times New Roman" w:eastAsia="Times New Roman" w:hAnsi="Times New Roman"/>
          <w:sz w:val="18"/>
          <w:szCs w:val="18"/>
          <w:color w:val="auto"/>
        </w:rPr>
        <w:t>Although the Compensation Committee is directly responsible for the oversight and administration of our executive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we are providing you with the means to express your view on this matter. Your vote will not create or imply any change to our fiduciary duties or create or imply any additional fiduciary duties for the Compensation Committee or the Board. As an advisory vote, this proposal is non-binding. However, the Board values the opinions that our stockholders express in their votes and may consider the outcome of the vote when making future executive compensation decisions.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advisory resolution, commonly known as a "say-on-pay" proposal, provides you the opportunity to express your views on our executive compensation program for the Company's NEOs. The resolution is required by Section 14A of the Exchange Act. We ask you to vote FOR the following resolution: "RESOLVED, that the stockholders of Chesapeake Utilities Corporation approve, on a non-binding, advisory basis, the compensation of the Named Executive Officers as disclosed in this Proxy Statement for the 2026 Annual Meeting of Stockholders."</w:t>
      </w:r>
    </w:p>
    <w:p>
      <w:pPr>
        <w:spacing w:after="0" w:line="1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for the Approval of the Compensation of the Company's NEOs. </w:t>
      </w:r>
      <w:r>
        <w:rPr>
          <w:rFonts w:ascii="Times New Roman" w:cs="Times New Roman" w:eastAsia="Times New Roman" w:hAnsi="Times New Roman"/>
          <w:sz w:val="18"/>
          <w:szCs w:val="18"/>
          <w:color w:val="auto"/>
        </w:rPr>
        <w:t>Proposal 2 will be deemed to be approved, on an advisory basis, if the holders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Company's outstanding common stock present at the Meeting or represented by proxy and entitled to vote on the matter affirmatively vote in favor of this proposal. Abstentions will have the same effect as a vote against this proposal. Broker non-votes will have no effect on the outcome of the advisory vote.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Compensation Committee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Information. </w:t>
      </w:r>
      <w:r>
        <w:rPr>
          <w:rFonts w:ascii="Times New Roman" w:cs="Times New Roman" w:eastAsia="Times New Roman" w:hAnsi="Times New Roman"/>
          <w:sz w:val="18"/>
          <w:szCs w:val="18"/>
          <w:color w:val="auto"/>
        </w:rPr>
        <w:t>The Compensation Committee is responsible for the oversight and administration of the Company's executive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The Committee designs, recommends to the Board for adoption, and administers the policies and practices related to executive compensation. We promote a pay-for-performance culture by designing an executive compensation program that includes base salary, as well as short and long-term performance-based incentive awards. Our Compensation Committee considers the alignment of total compensation with our business objectives, thereby focusing on stockholder value. The Committee, to the extent that it deems appropriate (and, in the case of any of the Company's employee benefit plans, to the extent permitted by the plan), may delegate the day-to-day administration of matters under its authority to employees, or a subcommittee, of the Company and its subsidiaries, subject in all cases to the Committee's oversight.</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Independence of Committee Members. </w:t>
      </w:r>
      <w:r>
        <w:rPr>
          <w:rFonts w:ascii="Times New Roman" w:cs="Times New Roman" w:eastAsia="Times New Roman" w:hAnsi="Times New Roman"/>
          <w:sz w:val="18"/>
          <w:szCs w:val="18"/>
          <w:color w:val="auto"/>
        </w:rPr>
        <w:t>On February 25, 2026, the Board determined that none of the Compensation Committee members had any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 with the Company in accordance with the NYSE Listing Standards and the Company's Corporate Governance Guidelines. Thus, each member of the Compensation Committee is independent and, other than in their capacity as a director and member of the Compensation Committee and other Board committees, has no other relationship or arrangement with the Company or any of the NEOs. Each member of the Compensation Committee also meets the definition of a "Non-Employee Director" under Rule 16b-3 promulgated by the SEC under the Exchange Act.</w:t>
      </w:r>
    </w:p>
    <w:p>
      <w:pPr>
        <w:spacing w:after="0" w:line="1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Philosophy and Design of Executive Compensation Program.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sections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Statement, we provide additional narrative and information regarding our current executive compensation program, including our philosophy, the design of our program, and the mix of compensation that the Compensation Committee believes aligns the financial interests of the executive officers with the interests of our stockholders. The Committee annually reviews and approves the executive compensation program and considers several elements, including, but not limited to: (i) the effectiveness of the program in attracting and retaining highly qualified individuals that have a solid foundation and comprehensive perspective of the Company, its operations and competitive environment; (ii) the complex nature of our operations as a diversified energy delivery company; and (iii) the long-term focus on our strategic planning process. The Committee promotes a pay-for-performance culture by including short-term cash and long-term equity incentive awards based on achievement of pre-established performance criteria set by the Committee. This puts a substantial portion of an executive's total direct compensation at-risk with the long-term equity incentive award comprising the largest component.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6" w:name="page17"/>
    <w:bookmarkEnd w:id="16"/>
    <w:p>
      <w:pPr>
        <w:jc w:val="both"/>
        <w:spacing w:after="0" w:line="269" w:lineRule="auto"/>
        <w:rPr>
          <w:sz w:val="20"/>
          <w:szCs w:val="20"/>
          <w:color w:val="auto"/>
        </w:rPr>
      </w:pPr>
      <w:r>
        <w:rPr>
          <w:rFonts w:ascii="Times New Roman" w:cs="Times New Roman" w:eastAsia="Times New Roman" w:hAnsi="Times New Roman"/>
          <w:sz w:val="18"/>
          <w:szCs w:val="18"/>
          <w:color w:val="auto"/>
        </w:rPr>
        <w:t>The Compensation Committee works directly with FW Cook, its independent compensation consultant, in designing the executive compensation program. FW Cook provides the Committee with market analyses that compare the Company's executive compensation against market information for companies in our peer group and a published survey source. The analyses assess the competitiveness of total compensation for the Company's NEOs. The independent compensation consultant's report concluded that for the 2025 executive compensation program: (i) target total direct compensation for the NEOs was, on average, within a competitive range of the market median for the survey data; and (ii) the executive compensation program promotes a culture of pay-for-performance as a majority of compensation is at risk.</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Practices and Business Performance. </w:t>
      </w:r>
      <w:r>
        <w:rPr>
          <w:rFonts w:ascii="Times New Roman" w:cs="Times New Roman" w:eastAsia="Times New Roman" w:hAnsi="Times New Roman"/>
          <w:sz w:val="18"/>
          <w:szCs w:val="18"/>
          <w:color w:val="auto"/>
        </w:rPr>
        <w:t>Our executive compensation program is designed to provide fair, reasonable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compensation that also aligns total compensation to our business objectives, performance and creation of stockholder value. This is evidenced by 65 years of consecutive annual dividends, our strong earnings growth, and the Company's commitment to increased shareholder value. Our executive compensation practices include, but are not limited to:</w:t>
      </w:r>
    </w:p>
    <w:p>
      <w:pPr>
        <w:spacing w:after="0" w:line="75"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is comprised of independent directors who retain discretion over the administration of our executive compensation program and discretion in determining the achievement of performance;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incentive award features a cap on the maximum amount that can be earned for any performance period;</w:t>
      </w:r>
    </w:p>
    <w:p>
      <w:pPr>
        <w:spacing w:after="0" w:line="13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equity incentive awards that vest based on the achievement of performance goals accrue as dividend equivalents during the performance period and are paid only on the actual shares earned, if any;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requirements are in place for named executive officers;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7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recovery policy is in place that complies with the Dodd-Frank Wall Street Reform and Consumer Protection Act and related NYSE rules which requires the repayment by a NEO if an incentive award was calculated based upon the achievement of certain financial results or other performance metrics that, in either case, were subsequently found to be materially inaccurate for any reason (including, without limitation, by reason of a financial restatement, mistake in calculations, or other administrative error); and</w:t>
      </w:r>
    </w:p>
    <w:p>
      <w:pPr>
        <w:spacing w:after="0" w:line="77" w:lineRule="exact"/>
        <w:rPr>
          <w:rFonts w:ascii="Times New Roman" w:cs="Times New Roman" w:eastAsia="Times New Roman" w:hAnsi="Times New Roman"/>
          <w:sz w:val="18"/>
          <w:szCs w:val="18"/>
          <w:color w:val="auto"/>
        </w:rPr>
      </w:pPr>
    </w:p>
    <w:p>
      <w:pPr>
        <w:jc w:val="both"/>
        <w:ind w:left="660" w:hanging="328"/>
        <w:spacing w:after="0" w:line="27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participate in the same benefits that are available to other employees of the Company, including benefits under our health and welfare plans, and short-term and long-term disability coverage. A Company vehicle is available for personal use but is treated as compensation to the executive. Senior officers may also elect to participate in financial planning services provided by a Company sponsored third-party advisor.</w:t>
      </w:r>
    </w:p>
    <w:p>
      <w:pPr>
        <w:sectPr>
          <w:pgSz w:w="11900" w:h="16838" w:orient="portrait"/>
          <w:cols w:equalWidth="0" w:num="1">
            <w:col w:w="11240"/>
          </w:cols>
          <w:pgMar w:left="320" w:top="945" w:right="339" w:bottom="1440" w:gutter="0" w:footer="0" w:header="0"/>
        </w:sectPr>
      </w:pPr>
    </w:p>
    <w:p>
      <w:pPr>
        <w:spacing w:after="0" w:line="279"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25"/>
          <w:szCs w:val="25"/>
          <w:b w:val="1"/>
          <w:bCs w:val="1"/>
          <w:color w:val="auto"/>
        </w:rPr>
        <w:t>Proposal</w:t>
      </w:r>
    </w:p>
    <w:p>
      <w:pPr>
        <w:spacing w:after="0" w:line="47"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86"/>
          <w:szCs w:val="86"/>
          <w:b w:val="1"/>
          <w:bCs w:val="1"/>
          <w:color w:val="auto"/>
        </w:rPr>
        <w:t>3</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2180"/>
        <w:spacing w:after="0" w:line="275" w:lineRule="auto"/>
        <w:rPr>
          <w:sz w:val="20"/>
          <w:szCs w:val="20"/>
          <w:color w:val="auto"/>
        </w:rPr>
      </w:pPr>
      <w:r>
        <w:rPr>
          <w:rFonts w:ascii="Times New Roman" w:cs="Times New Roman" w:eastAsia="Times New Roman" w:hAnsi="Times New Roman"/>
          <w:sz w:val="22"/>
          <w:szCs w:val="22"/>
          <w:b w:val="1"/>
          <w:bCs w:val="1"/>
          <w:color w:val="auto"/>
        </w:rPr>
        <w:t>NON-BINDING ADVISORY VOTE TO RATIFY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-373380</wp:posOffset>
            </wp:positionV>
            <wp:extent cx="6172200" cy="8826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882650"/>
                    </a:xfrm>
                    <a:prstGeom prst="rect">
                      <a:avLst/>
                    </a:prstGeom>
                    <a:noFill/>
                  </pic:spPr>
                </pic:pic>
              </a:graphicData>
            </a:graphic>
          </wp:anchor>
        </w:drawing>
      </w:r>
    </w:p>
    <w:p>
      <w:pPr>
        <w:spacing w:after="0" w:line="21" w:lineRule="exact"/>
        <w:rPr>
          <w:sz w:val="20"/>
          <w:szCs w:val="20"/>
          <w:color w:val="auto"/>
        </w:rPr>
      </w:pPr>
    </w:p>
    <w:p>
      <w:pPr>
        <w:ind w:right="1940"/>
        <w:spacing w:after="0" w:line="313" w:lineRule="auto"/>
        <w:rPr>
          <w:sz w:val="20"/>
          <w:szCs w:val="20"/>
          <w:color w:val="auto"/>
        </w:rPr>
      </w:pPr>
      <w:r>
        <w:rPr>
          <w:rFonts w:ascii="Times New Roman" w:cs="Times New Roman" w:eastAsia="Times New Roman" w:hAnsi="Times New Roman"/>
          <w:sz w:val="21"/>
          <w:szCs w:val="21"/>
          <w:b w:val="1"/>
          <w:bCs w:val="1"/>
          <w:color w:val="0067A6"/>
        </w:rPr>
        <w:t xml:space="preserve">The Board recommends a vote </w:t>
      </w:r>
      <w:r>
        <w:rPr>
          <w:rFonts w:ascii="Times New Roman" w:cs="Times New Roman" w:eastAsia="Times New Roman" w:hAnsi="Times New Roman"/>
          <w:sz w:val="21"/>
          <w:szCs w:val="21"/>
          <w:b w:val="1"/>
          <w:bCs w:val="1"/>
          <w:u w:val="single" w:color="auto"/>
          <w:color w:val="0067A6"/>
        </w:rPr>
        <w:t>FOR</w:t>
      </w:r>
      <w:r>
        <w:rPr>
          <w:rFonts w:ascii="Times New Roman" w:cs="Times New Roman" w:eastAsia="Times New Roman" w:hAnsi="Times New Roman"/>
          <w:sz w:val="21"/>
          <w:szCs w:val="21"/>
          <w:b w:val="1"/>
          <w:bCs w:val="1"/>
          <w:color w:val="0067A6"/>
        </w:rPr>
        <w:t xml:space="preserve"> the ratification of the appointment of Baker Tilly US, LLP as the Company's independent registered public accounting firm for 2026.</w:t>
      </w:r>
    </w:p>
    <w:p>
      <w:pPr>
        <w:spacing w:after="0" w:line="261" w:lineRule="exact"/>
        <w:rPr>
          <w:sz w:val="20"/>
          <w:szCs w:val="20"/>
          <w:color w:val="auto"/>
        </w:rPr>
      </w:pPr>
    </w:p>
    <w:p>
      <w:pPr>
        <w:sectPr>
          <w:pgSz w:w="11900" w:h="16838" w:orient="portrait"/>
          <w:cols w:equalWidth="0" w:num="2">
            <w:col w:w="1180" w:space="240"/>
            <w:col w:w="9820"/>
          </w:cols>
          <w:pgMar w:left="320" w:top="945"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Appointment of External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Audit Committee is solely responsible for the appointment, oversight, retention, and termination of the work of the Company's independent registered public accounting firm (also referred to in this Proxy Statement as “external audit firm”), including the approval of all engagement fees, terms, and the annual audit plan. On February 24, 2026, the Audit Committee approved the reappointment of Baker Tilly to serve as our external audit firm for 2026. Baker Tilly (independently or through a legacy firm) has served as the Company’s external audit firm since 2007. In determining whether to reappoint Baker Tilly as the Company’s external audit firm, the Audit Committee took into consideration several factors, including an assessment of the professional qualifications and past performance of the Lead Audit Partner and the audit team, the quality and level of transparency of the Audit Committee’s relationship and communications with Baker Tilly, and the length of time the firm has been engaged. The Audit Committee considered, among other things, Baker Tilly’s energy experience and the knowledge and skills of Baker Tilly’s auditing experts that would be providing services to the Company.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Evaluation of External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Audit Committee previously established criteria and procedures used to evaluate the quality of the audit services. The evaluation focuses on the qualifications and performance of Baker Tilly; the quality and candor of the external audit firm’s communications with the Audit Committee and Company management; and the external audit firm’s independence and objectivity. In 2025, each member of</w:t>
      </w:r>
    </w:p>
    <w:p>
      <w:pPr>
        <w:sectPr>
          <w:pgSz w:w="11900" w:h="16838" w:orient="portrait"/>
          <w:cols w:equalWidth="0" w:num="1">
            <w:col w:w="11240"/>
          </w:cols>
          <w:pgMar w:left="320" w:top="945"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8"/>
          <w:szCs w:val="18"/>
          <w:color w:val="auto"/>
        </w:rPr>
        <w:t>the Audit Committee, as well as certain members of management and the Company's internal audit team, completed an evaluation of the quality of the audit services rendered in 2024. The questions were specifically developed for each respondent given the individual's relationship with the external audit firm. The Audit Committee analyzed the results of the assessment, which provided the Audit Committee with additional insight into the effectiveness and objectivity of the Company's external audit firm. The Chair of the Audit Committee and the Chief Financial Officer communicated the results of the evaluation process to Baker Tilly’s Lead Audit Partner. We will undertake the same process in 2026 for audit services performed in 2025.</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takes additional measures to ensure the audit team is independent and has the experience to facilitate an audit of the highest quality. These measures include, but are not limited to: (i) independently meeting with the external audit firm to discuss communications and other appropriate matters, (ii) pre-approving the audit and non-audit services performed by the external audit firm in order to assure that they do not impair the auditor’s independence, (iii) overseeing the process for the rotation or transition of the Lead Audit Partner to ensure the Lead Audit Partner has the knowledge, experience and quality to sustain the integrity of the Company’s audits and the requisite knowledge of the Company’s business and expected areas of future growth, and (iv) periodically overseeing the process to solicit proposals from external audit firms to review, among other things, the experience, qualifications, technical abilities, and competitiveness of the audit fees prior to appointment of the external audit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Non-Binding Advisory Vote to Ratify the External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Audit Committee is directly responsible for selecting and retaining the external audit firm. However, we are providing you with the means to express your view on this matter. While this vote is not binding, in the event that stockholders fail to ratify the appointment of Baker Tilly, the Audit Committee will take the vote into consideration in its evaluation of the external audit firm. Even if the appointment is ratified, the Audit Committee, in its discretion, may direct the appointment of a different external audit firm at any time during the year if the Audit Committee determines that such a change would be in the best interests of the Company and its stockholders.</w:t>
      </w:r>
    </w:p>
    <w:p>
      <w:pPr>
        <w:spacing w:after="0" w:line="1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Proposal 3 will be deemed to be approved, on an advisory basis, if the holders of a majority of the Company's outstanding common stock present at the Meeting or represented by proxy and entitled to vote on the matter affirmatively vote in favor of this proposal. Abstentions will have the same effect as a vote against this proposal. Brokers will have discretion to vote on this proposal.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from Baker Tilly will be available at the Meeting to respond to appropriate questions. A formal statement will not be made.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3 - AUDIT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Audit Committee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Chesapeake Utilities Corporation:</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functions of the Audit Committee include assisting the Board of Directors in fulfilling its fiduciary responsibilities by providing informed, diligent, and effective oversight of:</w:t>
      </w:r>
    </w:p>
    <w:p>
      <w:pPr>
        <w:spacing w:after="0" w:line="40" w:lineRule="exact"/>
        <w:rPr>
          <w:sz w:val="20"/>
          <w:szCs w:val="20"/>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policies, procedures and controls;</w:t>
      </w:r>
    </w:p>
    <w:p>
      <w:pPr>
        <w:spacing w:after="0" w:line="4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internal audit function;</w:t>
      </w:r>
    </w:p>
    <w:p>
      <w:pPr>
        <w:spacing w:after="0" w:line="36" w:lineRule="exact"/>
        <w:rPr>
          <w:rFonts w:ascii="Times New Roman" w:cs="Times New Roman" w:eastAsia="Times New Roman" w:hAnsi="Times New Roman"/>
          <w:sz w:val="18"/>
          <w:szCs w:val="18"/>
          <w:color w:val="auto"/>
        </w:rPr>
      </w:pPr>
    </w:p>
    <w:p>
      <w:pPr>
        <w:ind w:left="660" w:hanging="166"/>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retention, termination, compensation and oversight (including the assessment of the qualifications and independence) of the independent auditors;</w:t>
      </w: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the Company’s consolidated financial statements and related reports;</w:t>
      </w:r>
    </w:p>
    <w:p>
      <w:pPr>
        <w:spacing w:after="0" w:line="3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risk management processes, including oversight of cybersecurity risk and artificial intelligence; and</w:t>
      </w:r>
    </w:p>
    <w:p>
      <w:pPr>
        <w:spacing w:after="0" w:line="4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acts under a charter, which is reviewed at least annually and can be found on the Company’s website. All of our members are independent directors and determined to be “financial experts.” As a Committee, we assess our performance at least annually with a goal of continually finding ways to enhance our oversight performance.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Audit Committee Report is being submitted in conjunction with the Company’s audited financial statements for the year ended December 31, 2025. In conjunction with our oversight responsibilities, prior to the issuance of the Company’s unaudited quarterly financial statements and annual audited financial statements, the Committee reviewed and discussed the earnings press releases, consolidated financial statements and required footnotes, and disclosures under “Management’s Discussion and Analysis of Financial</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Condition and Results of Operations” (including significant accounting policies and judgments) with the Company’s management, internal auditors, and independent registered public accounting firm, Baker Tilly US, LLP (“Baker Tilly”). The Committee also reviewed the Company’s policies and practices with respect to financial risk assessment, as well as conferred with Baker Tilly on the matters required to be discussed by the applicable requirements of the Public Company Accounting Oversight Board (the "PCAOB") and the Securities and Exchange Commission (the "SEC").</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Committee discussed with Baker Tilly the overall scope and plan for its audit and approved the terms of its engagement letter. The Committee also reviewed the Company's internal audit plan. The Committee met with Baker Tilly and with the Company's internal auditor, in each case, with and without other members of management present, to discuss the results of their respective examinations, the evaluation of the Company’s internal controls and the overall quality and integrity of the Company’s financial reporting. The Committee also met regularly with management to discuss accounting, auditing, internal control, financial reporting, earnings and risk management processes and matters, including cybersecurity. The Committee has received the written disclosures and the letter from Baker Tilly required by applicable requirements of the PCAOB regarding Baker Tilly’s communications with the Committee concerning independence, and has discussed with Baker Tilly its independence. The Committee and Baker Tilly engaged in annual discussions regarding the definition of a Critical Accounting Matter ("CAM"). These discussions included the nature of potential CAMs for the Company, Baker Tilly’s basis for the determination of the CAM included in their audit report and how the CAM will be described therein. For both 2024 and 2025, the discussion of the CAM in Baker Tilly’s report captures and is consistent with our dialogue regarding these matters.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Committee’s review and the discussions referred to above, the Committee recommended to the Board of Directors that the audited financial statements be included in the Company’s Annual Report on Form 10-K for the year ended December 31, 2025 for filing with the SEC.</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appointed Baker Tilly to serve as our independent registered public accounting firm for the fiscal year ending December 31, 2026. In determining whether to appoint Baker Tilly, the Audit Committee took into consideration various factors, including the historical and recent performance of Baker Tilly on the audit; the professional qualifications of the firm and the Lead Audit Partner; the quality of ongoing discussions with Baker Tilly; the results of internal surveys of Baker Tilly’s service, quality and efficiency; the appropriateness of fees; external data on audit quality and performance; and evidence supporting the firm’s independence, objectivity and professional skepticism. Although the Audit Committee has sole authority to appoint the independent registered public accounting firm, the Committee has recommended that the Board seek stockholder ratification of the appointment at the Annual Meeting.</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Audit Committee Report shall not be considered to be “soliciting material” or be “filed” with the SEC, nor shall this information be incorporated by reference into any previous or future filings under the Securities Act of 1933, as amended, or the Securities Exchange Act of 1934, as amended, except to the extent that the Company incorporated it by specific reference. This Audit Committee Report is provided by the following independent directors, who comprise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ind w:left="460"/>
        <w:spacing w:after="0"/>
        <w:tabs>
          <w:tab w:leader="none" w:pos="3520" w:val="left"/>
          <w:tab w:leader="none" w:pos="6100" w:val="left"/>
          <w:tab w:leader="none" w:pos="8940" w:val="left"/>
        </w:tabs>
        <w:rPr>
          <w:sz w:val="20"/>
          <w:szCs w:val="20"/>
          <w:color w:val="auto"/>
        </w:rPr>
      </w:pPr>
      <w:r>
        <w:rPr>
          <w:rFonts w:ascii="Times New Roman" w:cs="Times New Roman" w:eastAsia="Times New Roman" w:hAnsi="Times New Roman"/>
          <w:sz w:val="18"/>
          <w:szCs w:val="18"/>
          <w:b w:val="1"/>
          <w:bCs w:val="1"/>
          <w:color w:val="auto"/>
        </w:rPr>
        <w:t>Thomas J. Bresnan, Chair</w:t>
      </w:r>
      <w:r>
        <w:rPr>
          <w:sz w:val="20"/>
          <w:szCs w:val="20"/>
          <w:color w:val="auto"/>
        </w:rPr>
        <w:tab/>
      </w:r>
      <w:r>
        <w:rPr>
          <w:rFonts w:ascii="Times New Roman" w:cs="Times New Roman" w:eastAsia="Times New Roman" w:hAnsi="Times New Roman"/>
          <w:sz w:val="36"/>
          <w:szCs w:val="36"/>
          <w:b w:val="1"/>
          <w:bCs w:val="1"/>
          <w:color w:val="auto"/>
          <w:vertAlign w:val="subscript"/>
        </w:rPr>
        <w:t>Elisabeth A. Eden</w:t>
      </w:r>
      <w:r>
        <w:rPr>
          <w:sz w:val="20"/>
          <w:szCs w:val="20"/>
          <w:color w:val="auto"/>
        </w:rPr>
        <w:tab/>
      </w:r>
      <w:r>
        <w:rPr>
          <w:rFonts w:ascii="Times New Roman" w:cs="Times New Roman" w:eastAsia="Times New Roman" w:hAnsi="Times New Roman"/>
          <w:sz w:val="18"/>
          <w:szCs w:val="18"/>
          <w:b w:val="1"/>
          <w:bCs w:val="1"/>
          <w:color w:val="auto"/>
        </w:rPr>
        <w:t>Ronald G. Forsythe, Jr.</w:t>
      </w:r>
      <w:r>
        <w:rPr>
          <w:sz w:val="20"/>
          <w:szCs w:val="20"/>
          <w:color w:val="auto"/>
        </w:rPr>
        <w:tab/>
      </w:r>
      <w:r>
        <w:rPr>
          <w:rFonts w:ascii="Times New Roman" w:cs="Times New Roman" w:eastAsia="Times New Roman" w:hAnsi="Times New Roman"/>
          <w:sz w:val="17"/>
          <w:szCs w:val="17"/>
          <w:b w:val="1"/>
          <w:bCs w:val="1"/>
          <w:color w:val="auto"/>
        </w:rPr>
        <w:t>Dennis S. Hudson, III</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Fees and Services of the Company's Independent Auditors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information on fees for professional services rendered by Baker Tilly for the two years ended December 31, 2025 and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fees that Baker Tilly billed to the Company and its subsidiaries in 2025 and 2024 totaled $1,682,928 and $1,634,969, respectively. Fees for professional services rendered included fees associated with matters in connection with the audits of the financial statements included in our Annual Reports on Form 10-K; the reviews of the financial statements included in our Quarterly Reports on Form 10-Q; the audits of certain of our subsidiaries or operations typically performed for statutory and regulatory filings or engagements; the audits of internal control over financial reporting as required by Section 404 of the Sarbanes-Oxley Act of 2002; the issuance of a consent related to our Dividend Reinvestment and Direct Stock Purchase Plan; and the issuance of comfort letters associated with our at-the-market ("ATM") equity program.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Audit-Related Fees, Tax and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fees billed for audit-related services were $55,650 and $81,300 for 2025 and 2024, respectively. During 2025 and 2024, Baker Tilly performed annual audits on our benefit plans for the plan years ended December 31, 2024 and 2023, respectively. The Company did not engage Baker Tilly to provide any tax services or any services other than those described above.</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9"/>
          <w:szCs w:val="29"/>
          <w:b w:val="1"/>
          <w:bCs w:val="1"/>
          <w:color w:val="006EBF"/>
        </w:rPr>
        <w:t>Audit and Non-Audit Services 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pre-approves the audit and non-audit services performed by the Company's external audit firm in order to assure that they do not impair the external audit firm’s independence. The Audit Committee may also pre-approve tax services provided by the external audit firm, if any. In November 2025, the Audit Committee reviewed its Audit and Non-Audit Services Pre-Approval Policy and made changes that align with our current practices. Under this policy, the Audit Committee may pre-approve specific services in advance or may pre-approve one or more categories of audit and non-audit services. For all proposed services, the Audit Committee will, among other things, consider whether the external audit firm is the best positioned to provide the proposed services most effectively and efficiently based on its familiarity with our industry, business, people, culture, accounting systems, risk profile and other factors, and whether the services are likely to enhance our ability to manage risk or improve audit quality. The Audit Committee may establish ceilings on the level of fees and costs of generally pre-approved services that may be performed. Any proposed services exceeding these levels or amounts require separate pre-approval by the Audit Committee.</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delegated to the Chair of the Audit Committee (who may delegate authority to any other member of the Audit Committee) authority to pre-approve up to $100,000 in audit and non-audit services, which authority may be exercised when the Audit Committee is not in session. At least annually, the external audit firm is required to report to the Audit Committee on the specific services provided and the amounts that have been paid to the external audit firm. The Chief Financial Officer is required to report to the Audit Committee on the specific services provided and the amounts paid by the Company. The Company's internal audit team is responsible for monitoring and reporting on the performance of all services provided by the external audit firm and to determine whether these services comply with the Audit Committee’s policy. In 2025 and 2024, the Audit Committee approved all audit and non-audit services provided to the Company by Baker Tilly.</w:t>
      </w:r>
    </w:p>
    <w:p>
      <w:pPr>
        <w:spacing w:after="0" w:line="243" w:lineRule="exact"/>
        <w:rPr>
          <w:sz w:val="20"/>
          <w:szCs w:val="20"/>
          <w:color w:val="auto"/>
        </w:rPr>
      </w:pPr>
    </w:p>
    <w:p>
      <w:pPr>
        <w:ind w:right="2500"/>
        <w:spacing w:after="0" w:line="342" w:lineRule="auto"/>
        <w:rPr>
          <w:sz w:val="20"/>
          <w:szCs w:val="20"/>
          <w:color w:val="auto"/>
        </w:rPr>
      </w:pPr>
      <w:r>
        <w:rPr>
          <w:rFonts w:ascii="Times New Roman" w:cs="Times New Roman" w:eastAsia="Times New Roman" w:hAnsi="Times New Roman"/>
          <w:sz w:val="36"/>
          <w:szCs w:val="36"/>
          <w:b w:val="1"/>
          <w:bCs w:val="1"/>
          <w:color w:val="00497F"/>
        </w:rPr>
        <w:t>4 - BOARD OF DIRECTORS AND ITS COMMITTEES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Oversight. </w:t>
      </w:r>
      <w:r>
        <w:rPr>
          <w:rFonts w:ascii="Times New Roman" w:cs="Times New Roman" w:eastAsia="Times New Roman" w:hAnsi="Times New Roman"/>
          <w:sz w:val="18"/>
          <w:szCs w:val="18"/>
          <w:color w:val="auto"/>
        </w:rPr>
        <w:t>The Board is elected by the Company's stockholders to oversee the direction and strategy of the business and to ensure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continues to operate in the best interests of all stockholders. As fiduciaries, Board members are committed to overseeing the sustainability of the Company, its safety and operational compliance practices, and the promotion of a values-driven culture that represents and reflects the diverse communities we serve. The Board and its Committees monitor corporate performance, the integrity of financial controls, and the effectiveness of our compliance and enterprise risk management programs, including cybersecurity. The Board also oversees plans for the succession of key executives and is integrally involved in the strategic planning and capital budget processes, as well as establishing key financial and operational metrics. This year-round oversight process is facilitated through the diversity of our Board's broad range of personal and professional skills, experiences, backgrounds, perspectives, and expertise in cybersecurity, risk mitigation, leadership, corporate governance, board service, energy, economics, finance, public affairs, academia, and entrepreneurism. Several current Board members have served as chief executive officers or in other C-suite roles at various organizations and bring skillful business acumen to the boardroom. Collectively, the incumbent Board has a vast amount of diverse experience and established personal and professional relationships in the communities we serve. Directors may not serve on more than two other public company boards in accordance with our Corporate Governance Guidelines.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Leadership. </w:t>
      </w:r>
      <w:r>
        <w:rPr>
          <w:rFonts w:ascii="Times New Roman" w:cs="Times New Roman" w:eastAsia="Times New Roman" w:hAnsi="Times New Roman"/>
          <w:sz w:val="18"/>
          <w:szCs w:val="18"/>
          <w:color w:val="auto"/>
        </w:rPr>
        <w:t>Currently, our Board is comprised entirely of directors who are independent within the meaning of the NYSE’s Listing Standards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director independence standards, with the exception of Jeffry M. Householder who is our Chair of the Board, President and Chief Executive Officer. The Board’s Audit Committee, Compensation Committee and Corporate Governance Committee are all comprised solely of independent directors. Our Chief Executive Officer serves alongside three independent fellow directors as Chair of the Investment Committee.</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is led by the Chair, who is elected annually by the Board at the first Board meeting following our annual meeting of stockholders. In the event the Board determines that the appropriate leadership structure combines the Chair and CEO roles, the Board shall elect an independent Lead Director from among the independent directors. The Chair and the Lead Director perform the duties and responsibilities detailed in our Bylaws and Corporate Governance Guidelines and otherwise as prescribed by the Board. The annual elections of the Chair and Lead Director give the Board greater flexibility to not only determine its leaders, but also the most appropriate Board leadership structure that aligns with the specific characteristics and circumstances of the Company and the Board, enabling the Board to function and conduct its business most effectively. The Board may consider, among other things, the Company's business operations, long-range strategic planning process, oversight needs, functions and responsibilities of the Board specific to the Company, and the composition of the Board in evaluating and determining the appropriate Board leadership structure. The Chair determines, in consultation with the Lead Director, the agenda for each Board meeting, including risk matters and risk oversight matters as identified by the Chair for consideration by the Board. In addition, each director may suggest items for inclusion on the agenda. The Chair presides over Board and stockholder meetings. In the absence of the Chair, the Lead Director shall preside. The Chair, in consultation with the Lead Director, facilitates communications among Board members and communications between the</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Board and Management outside of Board meetings, is actively engaged in Board design, refreshment, and succession processes, and may engage with Management or the Audit Committee Chair on any risk-related matters. Additionally, the Lead Director may meet and communicate with the Company’s stockholders and other stakeholders as requested by the Chair.</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current Board leadership structure, the Chair and the Chief Executive Officer positions are held by a single individual. Of particular importance to the Board’s evaluation of the current leadership structure is the strong leadership and deep qualifications, expertise, and industry and operational experience of the Board’s current Chair, Jeffry M. Householder. Mr. Householder was appointed as President and Chief Executive Officer of Chesapeake Utilities Corporation effective January 1, 2019, and as Chair of the Board effective May 3, 2023. Prior to his appointment as Chesapeake Utilities' President and Chief Executive Officer, Mr. Householder had served as President of Chesapeake Utilities’ subsidiary, Florida Public Utilities Company since 2010. Mr. Householder has more than 40 years of energy industry experience, extensive knowledge of the Company and its energy delivery businesses, and an understanding of the Delmarva Peninsula and Florida markets where we serve customers. The Board believes that Mr. Householder’s extensive operational experience with the Company and strong leadership skills are strengths that have enhanced the Board’s function and performance. Thomas J. Bresnan was appointed as the independent Lead Director of the Board of Chesapeake Utilities Corporation also effective May 3, 2023. Mr. Bresnan has served as the Chair of the Audit Committee since 2004 and currently serves as a member of the Investment Committee. The Board considered, among other items, Mr. Bresnan’s extensive leadership experience and in-depth knowledge of the Company and its businesses, as well as Mr. Bresnan’s more than twenty-four years of service on the Board and to the Company’s stockholders. Mr. Bresnan, an entrepreneur and former public company executive, retired in 2023 as Chief Executive Officer and President of Denver Accounting Services.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Annually, the Board will evaluate the suitability of its current Board leadership structure and possible alternative structures, including having the Chair and the Chief Executive Officer positions held by two separate individuals. Management routinely interacts with stockholders on a variety of matters and may, as part of such outreach efforts, seek input regarding governance matters, including the Board’s leadership structure. The Board believes in strong independent governance of the Company.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Culture. </w:t>
      </w:r>
      <w:r>
        <w:rPr>
          <w:rFonts w:ascii="Times New Roman" w:cs="Times New Roman" w:eastAsia="Times New Roman" w:hAnsi="Times New Roman"/>
          <w:sz w:val="18"/>
          <w:szCs w:val="18"/>
          <w:color w:val="auto"/>
        </w:rPr>
        <w:t>The Board has a strong boardroom culture that enables directors to express their opinions openly in the boardroom and engage in candid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dialogue. Directors are strongly encouraged to attend the Board and Committee meetings, as well as the annual meeting of stockholders. In 2025, eight of our nine then serving directors were in attendance at the 2025 Virtual Annual Meeting of Stockholders. Each incumbent director actively participated in 75% or more of Board and their respective Committee meetings held in 2025. The Board held eight virtual or in-person meetings during 2025. Throughout 2025, individuals from across the organization attended several meetings of the Board and its Committees enabling the Board to enhance its connections with employees. Safety remains at the forefront of our Company and, at its meetings in 2025, the Board received safety messages from management on best practices that promote the safety and well-being of each other and our communities. For more than 166 years, the Company has promoted a values-driven culture. At its meetings in 2025, the Board received updates on our aspiring and caring culture, and the many ongoing engagement initiatives across the Company. Each independent director has access to our Chief Executive Officer and other members of the management team and may request agenda topics to be discussed in more detail at meetings of the full Board or one of its Committees.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 Independence. </w:t>
      </w:r>
      <w:r>
        <w:rPr>
          <w:rFonts w:ascii="Times New Roman" w:cs="Times New Roman" w:eastAsia="Times New Roman" w:hAnsi="Times New Roman"/>
          <w:sz w:val="18"/>
          <w:szCs w:val="18"/>
          <w:color w:val="auto"/>
        </w:rPr>
        <w:t>The independent directors bring expertise, objectivity and diverse perspectives to the Board. The NYSE Listing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governing independence require that a majority of the members of the Board be independent. Our Corporate Governance Guidelines are available on our website at </w:t>
      </w:r>
      <w:r>
        <w:rPr>
          <w:rFonts w:ascii="Times New Roman" w:cs="Times New Roman" w:eastAsia="Times New Roman" w:hAnsi="Times New Roman"/>
          <w:sz w:val="18"/>
          <w:szCs w:val="18"/>
          <w:u w:val="single" w:color="auto"/>
          <w:color w:val="auto"/>
        </w:rPr>
        <w:t>www.chpk.com/Corporate Responsibility/Corporate Governance/Corporate Governance Guidelines</w:t>
      </w:r>
      <w:r>
        <w:rPr>
          <w:rFonts w:ascii="Times New Roman" w:cs="Times New Roman" w:eastAsia="Times New Roman" w:hAnsi="Times New Roman"/>
          <w:sz w:val="18"/>
          <w:szCs w:val="18"/>
          <w:color w:val="auto"/>
        </w:rPr>
        <w:t>. In accordance with our Corporate Governance Guidelines, on February 25, 2026, the Board conducted its annual review of director independence. During this review, the Board examined all direct and indirect transactions or relationships between the Company or any of its subsidiaries and each director and any immediate family member of the director and determined that no material relationships between any of the directors or their immediate family members and the Company existed during 2025, except with respect to Mr. Householder's service as our President and Chief Executive Officer.</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basis of this review, the Board also determined that seven of the eight directors (or 88%) serving as of February 25, 2026 are independent. Each of the following directors qualifies as an independent director as defined by the NYSE Listing Standards and in accordance with the Company's Corporate Governance Guidelines: Lisa G. Bisaccia, Thomas J. Bresnan, Elisabeth A. Eden, Ronald G. Forsythe, Jr., Dennis S. Hudson, III, Lila A. Jaber, and Sheree M. Petrone. Mr. Householder, our President and Chief Executive Officer, is the only non-independent director.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Committees of the Board</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assist the Board in fulfilling its oversight responsibilities, the Board has established four standing committees - Audit Committee, Compensation Committee, Corporate Governance Committee, and Investment Committee. Each committee is comprised solely of independent directors, except that our Chief Executive Officer serves alongside three independent fellow directors as Chair of the Investment Committee. Each incumbent Committee member has dedicated the appropriate time, attending 75% or more of the Board and such members' applicable committee meetings in 2025. Each Committee member dedicates time toward the performance of responsibilities they perform on behalf of the Board as summarized below and further detailed in the Charter for each Committee. Our corporate governance framework across the enterprise is continuously fostered through the contributions of the Board and its Committees and all of the significant activities to which they devote attention throughout the year.</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9"/>
          <w:szCs w:val="29"/>
          <w:b w:val="1"/>
          <w:bCs w:val="1"/>
          <w:color w:val="006EB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jc w:val="both"/>
        <w:ind w:left="1260" w:right="1540"/>
        <w:spacing w:after="0" w:line="228" w:lineRule="auto"/>
        <w:rPr>
          <w:sz w:val="20"/>
          <w:szCs w:val="20"/>
          <w:color w:val="auto"/>
        </w:rPr>
      </w:pPr>
      <w:r>
        <w:rPr>
          <w:rFonts w:ascii="Times New Roman" w:cs="Times New Roman" w:eastAsia="Times New Roman" w:hAnsi="Times New Roman"/>
          <w:sz w:val="18"/>
          <w:szCs w:val="18"/>
          <w:i w:val="1"/>
          <w:iCs w:val="1"/>
          <w:color w:val="auto"/>
        </w:rPr>
        <w:t>In 2025, the Committee continued its focus on financial-related matters and audit considerations related to the Company’s ongoing growth. This included oversight of technology transformation initiatives across the organization and ongoing preparations for our enterprise resource planning system ("ERP") to streamline core business processes, as well as continued efforts to integrate FCG's systems and processes. The Committee also focused on enterprise risk management, changes in the regulatory and legislative landscapes, tax considerations and 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6331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63310" cy="31750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-744220</wp:posOffset>
            </wp:positionV>
            <wp:extent cx="514350" cy="651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 cy="6515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p>
      <w:pPr>
        <w:spacing w:after="0" w:line="91"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auto"/>
        </w:rPr>
        <w:t>Thomas J. Bresnan,</w:t>
      </w:r>
    </w:p>
    <w:p>
      <w:pPr>
        <w:spacing w:after="0" w:line="39"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auto"/>
        </w:rPr>
        <w:t>Chair</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4 - Independent Members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4 - Financially Literate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4 - Financial Experts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5 - Meetings held in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60"/>
        <w:spacing w:after="0"/>
        <w:tabs>
          <w:tab w:leader="none" w:pos="2860" w:val="left"/>
          <w:tab w:leader="none" w:pos="5360" w:val="left"/>
        </w:tabs>
        <w:rPr>
          <w:sz w:val="20"/>
          <w:szCs w:val="20"/>
          <w:color w:val="auto"/>
        </w:rPr>
      </w:pPr>
      <w:r>
        <w:rPr>
          <w:rFonts w:ascii="Arial" w:cs="Arial" w:eastAsia="Arial" w:hAnsi="Arial"/>
          <w:sz w:val="18"/>
          <w:szCs w:val="18"/>
          <w:b w:val="1"/>
          <w:bCs w:val="1"/>
          <w:color w:val="auto"/>
        </w:rPr>
        <w:t>Elisabeth A. Eden</w:t>
      </w:r>
      <w:r>
        <w:rPr>
          <w:sz w:val="20"/>
          <w:szCs w:val="20"/>
          <w:color w:val="auto"/>
        </w:rPr>
        <w:tab/>
      </w:r>
      <w:r>
        <w:rPr>
          <w:rFonts w:ascii="Arial" w:cs="Arial" w:eastAsia="Arial" w:hAnsi="Arial"/>
          <w:sz w:val="18"/>
          <w:szCs w:val="18"/>
          <w:b w:val="1"/>
          <w:bCs w:val="1"/>
          <w:color w:val="auto"/>
        </w:rPr>
        <w:t>Ronald G. Forsythe, Jr.</w:t>
      </w:r>
      <w:r>
        <w:rPr>
          <w:sz w:val="20"/>
          <w:szCs w:val="20"/>
          <w:color w:val="auto"/>
        </w:rPr>
        <w:tab/>
      </w:r>
      <w:r>
        <w:rPr>
          <w:rFonts w:ascii="Arial" w:cs="Arial" w:eastAsia="Arial" w:hAnsi="Arial"/>
          <w:sz w:val="18"/>
          <w:szCs w:val="18"/>
          <w:b w:val="1"/>
          <w:bCs w:val="1"/>
          <w:color w:val="auto"/>
        </w:rPr>
        <w:t>Dennis S. Hudson, III</w:t>
      </w:r>
    </w:p>
    <w:p>
      <w:pPr>
        <w:spacing w:after="0" w:line="222" w:lineRule="exact"/>
        <w:rPr>
          <w:sz w:val="20"/>
          <w:szCs w:val="20"/>
          <w:color w:val="auto"/>
        </w:rPr>
      </w:pPr>
    </w:p>
    <w:p>
      <w:pPr>
        <w:jc w:val="both"/>
        <w:ind w:right="154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Committee Responsibilities: </w:t>
      </w:r>
      <w:r>
        <w:rPr>
          <w:rFonts w:ascii="Times New Roman" w:cs="Times New Roman" w:eastAsia="Times New Roman" w:hAnsi="Times New Roman"/>
          <w:sz w:val="18"/>
          <w:szCs w:val="18"/>
          <w:color w:val="auto"/>
        </w:rPr>
        <w:t>The Committee provides oversight of the integrity of our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statements and financial reporting process, provides oversight of our compliance with legal and regulatory requirements, and reviews the effect of regulatory and accounting initiatives on our financial statements, internal controls, audit process, risk management program and technology systems and procedures such as artificial intelligence. The Committee's oversight includes the performance of our internal auditors and the performance, qualification and independence of our independent registered public accounting firm. Please view the Committee's charter at </w:t>
      </w:r>
      <w:r>
        <w:rPr>
          <w:rFonts w:ascii="Times New Roman" w:cs="Times New Roman" w:eastAsia="Times New Roman" w:hAnsi="Times New Roman"/>
          <w:sz w:val="18"/>
          <w:szCs w:val="18"/>
          <w:u w:val="single" w:color="auto"/>
          <w:color w:val="auto"/>
        </w:rPr>
        <w:t>www.chpk.com/corporate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responsibility/corporate governance/audit committee charter</w:t>
      </w:r>
      <w:r>
        <w:rPr>
          <w:rFonts w:ascii="Times New Roman" w:cs="Times New Roman" w:eastAsia="Times New Roman" w:hAnsi="Times New Roman"/>
          <w:sz w:val="18"/>
          <w:szCs w:val="18"/>
          <w:color w:val="auto"/>
        </w:rPr>
        <w:t xml:space="preserve"> for additional information on the Committee's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-1102995</wp:posOffset>
            </wp:positionV>
            <wp:extent cx="6163310" cy="11398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63310" cy="113982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1940" w:space="260"/>
            <w:col w:w="9040"/>
          </w:cols>
          <w:pgMar w:left="320" w:top="898" w:right="339" w:bottom="1440" w:gutter="0" w:footer="0" w:header="0"/>
          <w:type w:val="continuous"/>
        </w:sect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Experience, Service and Independence: </w:t>
      </w:r>
      <w:r>
        <w:rPr>
          <w:rFonts w:ascii="Times New Roman" w:cs="Times New Roman" w:eastAsia="Times New Roman" w:hAnsi="Times New Roman"/>
          <w:sz w:val="18"/>
          <w:szCs w:val="18"/>
          <w:color w:val="auto"/>
        </w:rPr>
        <w:t>Messrs. Bresnan, Forsythe and Hudson and Ms. Eden each qualify as an “audit committee financial expert”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by the SEC) based on their experience and knowledge. Biographical information on each Committee member is provided in Proposal 1 of this Proxy Statement. In 2025, each then serving Committee member participated in training given by Baker Tilly and internal management on the One Big Beautiful Bill Act (H.R. 1), tax credits for Investments (ITC) and Research and Development (R&amp;D), accounting for different legal entity structures, PCAOB updates, artificial intelligence and audit considerations, and general information technology controls. On February 25, 2026, the Board determined that none of the Audit Committee members had any material relationship with the Company in accordance with the NYSE Listing Standards and the Company's Corporate Governance Guidelines. None of the Committee members currently serve on an audit committee of another public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Several Areas of Focus in 2025 Included:</w:t>
      </w:r>
    </w:p>
    <w:p>
      <w:pPr>
        <w:spacing w:after="0" w:line="5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the Company's efforts related to the integration of Florida City Gas, including implementation of associated controls</w:t>
      </w:r>
    </w:p>
    <w:p>
      <w:pPr>
        <w:spacing w:after="0" w:line="49"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the Company's continued growth, provided oversight of our largest-ever technology-based capital improvement project (1CX) which was implemented in 2024 for the Company's legacy regulated distribution operations and in 2025 for Florida City Gas, as well as continued planning and preparations for an ERP and other general information technology controls</w:t>
      </w:r>
    </w:p>
    <w:p>
      <w:pPr>
        <w:spacing w:after="0" w:line="2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oversight of the Company’s risk management program, including our physical security program and cyber security third-party resiliency analysis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jc w:val="both"/>
        <w:ind w:left="1260" w:right="1540"/>
        <w:spacing w:after="0" w:line="226" w:lineRule="auto"/>
        <w:rPr>
          <w:sz w:val="20"/>
          <w:szCs w:val="20"/>
          <w:color w:val="auto"/>
        </w:rPr>
      </w:pPr>
      <w:r>
        <w:rPr>
          <w:rFonts w:ascii="Times New Roman" w:cs="Times New Roman" w:eastAsia="Times New Roman" w:hAnsi="Times New Roman"/>
          <w:sz w:val="18"/>
          <w:szCs w:val="18"/>
          <w:i w:val="1"/>
          <w:iCs w:val="1"/>
          <w:color w:val="auto"/>
        </w:rPr>
        <w:t>In 2025, we were honored to be named Best for Corporate Governance in the United States by World News Media Ltd.’s World Finance for the third time, recognizing our steadfast commitment to fostering a values-driven culture, upholding accountability at all levels and embracing a strategic approach that promotes safety, operational excellence and affordability while enhancing long-term stakeholder value. Additionally, we were named a Champion of Board Diversity by The Forum of Executive Women. The Committee continued to oversee our corporate governance framework and ensure alignment with the Company’s continued growth, including board and committee structure, board succession, governmental affairs, artificial intelligence 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16331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63310" cy="1797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-793115</wp:posOffset>
            </wp:positionV>
            <wp:extent cx="539750" cy="720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9750" cy="720090"/>
                    </a:xfrm>
                    <a:prstGeom prst="rect">
                      <a:avLst/>
                    </a:prstGeom>
                    <a:noFill/>
                  </pic:spPr>
                </pic:pic>
              </a:graphicData>
            </a:graphic>
          </wp:anchor>
        </w:drawing>
      </w:r>
    </w:p>
    <w:p>
      <w:pPr>
        <w:spacing w:after="0" w:line="75" w:lineRule="exact"/>
        <w:rPr>
          <w:sz w:val="20"/>
          <w:szCs w:val="20"/>
          <w:color w:val="auto"/>
        </w:rPr>
      </w:pPr>
    </w:p>
    <w:p>
      <w:pPr>
        <w:ind w:left="20"/>
        <w:spacing w:after="0"/>
        <w:tabs>
          <w:tab w:leader="none" w:pos="4100" w:val="left"/>
          <w:tab w:leader="none" w:pos="7520" w:val="left"/>
        </w:tabs>
        <w:rPr>
          <w:sz w:val="20"/>
          <w:szCs w:val="20"/>
          <w:color w:val="auto"/>
        </w:rPr>
      </w:pPr>
      <w:r>
        <w:rPr>
          <w:rFonts w:ascii="Arial" w:cs="Arial" w:eastAsia="Arial" w:hAnsi="Arial"/>
          <w:sz w:val="18"/>
          <w:szCs w:val="18"/>
          <w:b w:val="1"/>
          <w:bCs w:val="1"/>
          <w:color w:val="auto"/>
        </w:rPr>
        <w:t>Dennis S. Hudson, III, Chair</w:t>
      </w:r>
      <w:r>
        <w:rPr>
          <w:sz w:val="20"/>
          <w:szCs w:val="20"/>
          <w:color w:val="auto"/>
        </w:rPr>
        <w:tab/>
      </w:r>
      <w:r>
        <w:rPr>
          <w:rFonts w:ascii="Arial" w:cs="Arial" w:eastAsia="Arial" w:hAnsi="Arial"/>
          <w:sz w:val="18"/>
          <w:szCs w:val="18"/>
          <w:b w:val="1"/>
          <w:bCs w:val="1"/>
          <w:color w:val="auto"/>
        </w:rPr>
        <w:t>Lisa G. Bisaccia</w:t>
      </w:r>
      <w:r>
        <w:rPr>
          <w:sz w:val="20"/>
          <w:szCs w:val="20"/>
          <w:color w:val="auto"/>
        </w:rPr>
        <w:tab/>
      </w:r>
      <w:r>
        <w:rPr>
          <w:rFonts w:ascii="Arial" w:cs="Arial" w:eastAsia="Arial" w:hAnsi="Arial"/>
          <w:sz w:val="17"/>
          <w:szCs w:val="17"/>
          <w:b w:val="1"/>
          <w:bCs w:val="1"/>
          <w:color w:val="auto"/>
        </w:rPr>
        <w:t>Lila A. Jaber</w:t>
      </w:r>
    </w:p>
    <w:p>
      <w:pPr>
        <w:sectPr>
          <w:pgSz w:w="11900" w:h="16838" w:orient="portrait"/>
          <w:cols w:equalWidth="0" w:num="1">
            <w:col w:w="11240"/>
          </w:cols>
          <w:pgMar w:left="320" w:top="898" w:right="339" w:bottom="1440" w:gutter="0" w:footer="0" w:header="0"/>
          <w:type w:val="continuous"/>
        </w:sectPr>
      </w:pP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3 - Independent Members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5 - Meetings held in 2025</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ind w:right="1540"/>
        <w:spacing w:after="0" w:line="224" w:lineRule="auto"/>
        <w:rPr>
          <w:sz w:val="20"/>
          <w:szCs w:val="20"/>
          <w:color w:val="auto"/>
        </w:rPr>
      </w:pPr>
      <w:r>
        <w:rPr>
          <w:rFonts w:ascii="Times New Roman" w:cs="Times New Roman" w:eastAsia="Times New Roman" w:hAnsi="Times New Roman"/>
          <w:sz w:val="18"/>
          <w:szCs w:val="18"/>
          <w:b w:val="1"/>
          <w:bCs w:val="1"/>
          <w:color w:val="auto"/>
        </w:rPr>
        <w:t xml:space="preserve">Committee Responsibilities: </w:t>
      </w:r>
      <w:r>
        <w:rPr>
          <w:rFonts w:ascii="Times New Roman" w:cs="Times New Roman" w:eastAsia="Times New Roman" w:hAnsi="Times New Roman"/>
          <w:sz w:val="18"/>
          <w:szCs w:val="18"/>
          <w:color w:val="auto"/>
        </w:rPr>
        <w:t>The Committee oversees the evaluation of director candidates,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who are being considered for re-election, the evaluation of the composition of the Board and each standing Committee, and the Company's governmental affairs and sustainability activities and practices. The Committee also reviews, and updates as required, our governing documents. In addition, the Committee oversees the development of criteria and procedures for evaluation of the Board and each standing Committee. The Committee remains informed on corporate governance practices including board refreshment, and the Company’s unwavering commitment to its culture, safety, and to its communities as a responsible steward and corporate citizen. Please view the Committee's charter at </w:t>
      </w:r>
      <w:r>
        <w:rPr>
          <w:rFonts w:ascii="Times New Roman" w:cs="Times New Roman" w:eastAsia="Times New Roman" w:hAnsi="Times New Roman"/>
          <w:sz w:val="18"/>
          <w:szCs w:val="18"/>
          <w:u w:val="single" w:color="auto"/>
          <w:color w:val="auto"/>
        </w:rPr>
        <w:t xml:space="preserve">www.chpk.com/corporate responsibility/corporate governance/corporate governance committee charter </w:t>
      </w:r>
      <w:r>
        <w:rPr>
          <w:rFonts w:ascii="Times New Roman" w:cs="Times New Roman" w:eastAsia="Times New Roman" w:hAnsi="Times New Roman"/>
          <w:sz w:val="18"/>
          <w:szCs w:val="18"/>
          <w:color w:val="auto"/>
        </w:rPr>
        <w:t>for additional information on the Committee's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-1220470</wp:posOffset>
            </wp:positionV>
            <wp:extent cx="6163310" cy="127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63310" cy="127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20"/>
            <w:col w:w="9040"/>
          </w:cols>
          <w:pgMar w:left="320" w:top="898" w:right="339" w:bottom="1440" w:gutter="0" w:footer="0" w:header="0"/>
          <w:type w:val="continuous"/>
        </w:sectPr>
      </w:pPr>
    </w:p>
    <w:p>
      <w:pPr>
        <w:spacing w:after="0" w:line="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Internal and Third-Party Information: </w:t>
      </w:r>
      <w:r>
        <w:rPr>
          <w:rFonts w:ascii="Times New Roman" w:cs="Times New Roman" w:eastAsia="Times New Roman" w:hAnsi="Times New Roman"/>
          <w:sz w:val="18"/>
          <w:szCs w:val="18"/>
          <w:color w:val="auto"/>
        </w:rPr>
        <w:t>With the consent of the Board, the Committee may retain consultants or other advisors to assist in fulfilling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responsibilities. In 2025, the Committee reviewed information from legal counsel and internally prepared information on governance trends and best practices, regulatory initiatives, and legislative developments, and assessed potential implications on the Company.</w:t>
      </w:r>
    </w:p>
    <w:p>
      <w:pPr>
        <w:sectPr>
          <w:pgSz w:w="11900" w:h="16838" w:orient="portrait"/>
          <w:cols w:equalWidth="0" w:num="1">
            <w:col w:w="11240"/>
          </w:cols>
          <w:pgMar w:left="320" w:top="898"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Several Areas of Focus in 2025 Included:</w:t>
      </w:r>
    </w:p>
    <w:p>
      <w:pPr>
        <w:spacing w:after="0" w:line="81" w:lineRule="exact"/>
        <w:rPr>
          <w:sz w:val="20"/>
          <w:szCs w:val="20"/>
          <w:color w:val="auto"/>
        </w:rPr>
      </w:pPr>
    </w:p>
    <w:p>
      <w:pPr>
        <w:jc w:val="both"/>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oversee our corporate governance framework, including recommending the declassification of the Board over a three-year period starting at the 2026 Annual Meeting and to thereafter provide for the annual election of the entire Board at the 2028 Annual Meeting, reviewing the Company's Bylaws and other corporate governance documents, and continuing our succession planning process to ensure the Board's substantive expertise and experiences are aligned with our eligibility guidelines and long-term strategic plan</w:t>
      </w:r>
    </w:p>
    <w:p>
      <w:pPr>
        <w:spacing w:after="0" w:line="4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corporate governance and industry practices, including sustainability practices, emerging trends, and regulatory and legislative initiatives</w:t>
      </w:r>
    </w:p>
    <w:p>
      <w:pPr>
        <w:spacing w:after="0" w:line="6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Benchmarked board composition and profile practices across our peer companies, the energy industry, and broader indices such as the S&amp;P 500 and the Top 100 U.S. public companies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jc w:val="both"/>
        <w:ind w:left="1260" w:right="1540"/>
        <w:spacing w:after="0" w:line="226" w:lineRule="auto"/>
        <w:rPr>
          <w:sz w:val="20"/>
          <w:szCs w:val="20"/>
          <w:color w:val="auto"/>
        </w:rPr>
      </w:pPr>
      <w:r>
        <w:rPr>
          <w:rFonts w:ascii="Times New Roman" w:cs="Times New Roman" w:eastAsia="Times New Roman" w:hAnsi="Times New Roman"/>
          <w:sz w:val="18"/>
          <w:szCs w:val="18"/>
          <w:i w:val="1"/>
          <w:iCs w:val="1"/>
          <w:color w:val="auto"/>
        </w:rPr>
        <w:t>In 2025, the Company was recognized as Employer Champion of the Year for Kent County by the Delaware Department of Labor, underscoring our commitment to our employees and communities. The Committee continued to focus on cultural alignment, employee engagement initiatives, organizational design, and performance-based compensation to support strategic positioning aligned with the Company’s growth initiatives. The Committee also advanced its work on management succession planning, focusing on the alignment of leadership skills and experience with the Company’s strategic plan. In addition, the Committee conducted its review of executive compensation and received a presentation from its third-party advisor on pay-for-performance alignment relative to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17220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0" cy="1797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-864870</wp:posOffset>
            </wp:positionV>
            <wp:extent cx="625475" cy="694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5475" cy="69405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p>
      <w:pPr>
        <w:spacing w:after="0" w:line="22" w:lineRule="exact"/>
        <w:rPr>
          <w:sz w:val="20"/>
          <w:szCs w:val="20"/>
          <w:color w:val="auto"/>
        </w:rPr>
      </w:pPr>
    </w:p>
    <w:p>
      <w:pPr>
        <w:ind w:left="20"/>
        <w:spacing w:after="0" w:line="429" w:lineRule="auto"/>
        <w:rPr>
          <w:sz w:val="20"/>
          <w:szCs w:val="20"/>
          <w:color w:val="auto"/>
        </w:rPr>
      </w:pPr>
      <w:r>
        <w:rPr>
          <w:rFonts w:ascii="Arial" w:cs="Arial" w:eastAsia="Arial" w:hAnsi="Arial"/>
          <w:sz w:val="17"/>
          <w:szCs w:val="17"/>
          <w:b w:val="1"/>
          <w:bCs w:val="1"/>
          <w:color w:val="auto"/>
        </w:rPr>
        <w:t xml:space="preserve">Lisa G. Bisaccia, Chair </w:t>
      </w:r>
      <w:r>
        <w:rPr>
          <w:rFonts w:ascii="Times New Roman" w:cs="Times New Roman" w:eastAsia="Times New Roman" w:hAnsi="Times New Roman"/>
          <w:sz w:val="17"/>
          <w:szCs w:val="17"/>
          <w:color w:val="auto"/>
        </w:rPr>
        <w:t>3 - Independent Members 5 - Meetings held in 2025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420"/>
        <w:spacing w:after="0"/>
        <w:tabs>
          <w:tab w:leader="none" w:pos="5020" w:val="left"/>
        </w:tabs>
        <w:rPr>
          <w:sz w:val="20"/>
          <w:szCs w:val="20"/>
          <w:color w:val="auto"/>
        </w:rPr>
      </w:pPr>
      <w:r>
        <w:rPr>
          <w:rFonts w:ascii="Arial" w:cs="Arial" w:eastAsia="Arial" w:hAnsi="Arial"/>
          <w:sz w:val="18"/>
          <w:szCs w:val="18"/>
          <w:b w:val="1"/>
          <w:bCs w:val="1"/>
          <w:color w:val="auto"/>
        </w:rPr>
        <w:t>Ronald G. Forsythe, Jr.</w:t>
      </w:r>
      <w:r>
        <w:rPr>
          <w:sz w:val="20"/>
          <w:szCs w:val="20"/>
          <w:color w:val="auto"/>
        </w:rPr>
        <w:tab/>
      </w:r>
      <w:r>
        <w:rPr>
          <w:rFonts w:ascii="Arial" w:cs="Arial" w:eastAsia="Arial" w:hAnsi="Arial"/>
          <w:sz w:val="17"/>
          <w:szCs w:val="17"/>
          <w:b w:val="1"/>
          <w:bCs w:val="1"/>
          <w:color w:val="auto"/>
        </w:rPr>
        <w:t>Sheree M. Petrone</w:t>
      </w:r>
    </w:p>
    <w:p>
      <w:pPr>
        <w:spacing w:after="0" w:line="100" w:lineRule="exact"/>
        <w:rPr>
          <w:sz w:val="20"/>
          <w:szCs w:val="20"/>
          <w:color w:val="auto"/>
        </w:rPr>
      </w:pPr>
    </w:p>
    <w:p>
      <w:pPr>
        <w:jc w:val="both"/>
        <w:ind w:right="1520"/>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Committee Responsibilities: </w:t>
      </w:r>
      <w:r>
        <w:rPr>
          <w:rFonts w:ascii="Times New Roman" w:cs="Times New Roman" w:eastAsia="Times New Roman" w:hAnsi="Times New Roman"/>
          <w:sz w:val="18"/>
          <w:szCs w:val="18"/>
          <w:color w:val="auto"/>
        </w:rPr>
        <w:t>The Committee oversees the design and administration of our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practices related to director and executive compensation, reviews the results of stockholder advisory votes on executive compensation, and discusses with management the Compensation Discussion and Analysis. The Committee's oversight also includes succession planning for the executive officers and the promotion of a values-driven culture in the recruitment, training, development and retention of employees. Please view the Committee's charter at </w:t>
      </w:r>
      <w:r>
        <w:rPr>
          <w:rFonts w:ascii="Times New Roman" w:cs="Times New Roman" w:eastAsia="Times New Roman" w:hAnsi="Times New Roman"/>
          <w:sz w:val="18"/>
          <w:szCs w:val="18"/>
          <w:u w:val="single" w:color="auto"/>
          <w:color w:val="auto"/>
        </w:rPr>
        <w:t>www.chpk.com/corporate responsibility/corporate governance/compensation committee charter</w:t>
      </w:r>
      <w:r>
        <w:rPr>
          <w:rFonts w:ascii="Times New Roman" w:cs="Times New Roman" w:eastAsia="Times New Roman" w:hAnsi="Times New Roman"/>
          <w:sz w:val="18"/>
          <w:szCs w:val="18"/>
          <w:color w:val="auto"/>
        </w:rPr>
        <w:t xml:space="preserve"> for additional information on the Committee's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-983615</wp:posOffset>
            </wp:positionV>
            <wp:extent cx="6172200" cy="1071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1071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240"/>
            <w:col w:w="9040"/>
          </w:cols>
          <w:pgMar w:left="320" w:top="941" w:right="339" w:bottom="1440" w:gutter="0" w:footer="0" w:header="0"/>
          <w:type w:val="continuous"/>
        </w:sectPr>
      </w:pP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Independent Advisor: </w:t>
      </w:r>
      <w:r>
        <w:rPr>
          <w:rFonts w:ascii="Times New Roman" w:cs="Times New Roman" w:eastAsia="Times New Roman" w:hAnsi="Times New Roman"/>
          <w:sz w:val="18"/>
          <w:szCs w:val="18"/>
          <w:color w:val="auto"/>
        </w:rPr>
        <w:t>The Committee is directly responsible for the appointment, compensation and oversight of the work of any consultant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it retains. The Committee may, in its sole discretion, engage a consultant or other advisor to assist in the evaluation of executive and director compensation. The Committee reviewed the independence of FW Cook and, on December 15, 2025, engaged them for services to be performed in the ensuing year. After considering various factors, including the specific factors described in the SEC rules and those provided under the NYSE’s Listing Standards, the Committee determined that FW Cook is independent with no conflicts of interest.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Several Areas of Focus in 2025 Included:</w:t>
      </w:r>
    </w:p>
    <w:p>
      <w:pPr>
        <w:spacing w:after="0" w:line="81" w:lineRule="exact"/>
        <w:rPr>
          <w:sz w:val="20"/>
          <w:szCs w:val="20"/>
          <w:color w:val="auto"/>
        </w:rPr>
      </w:pPr>
    </w:p>
    <w:p>
      <w:pPr>
        <w:ind w:left="340" w:right="2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oversee the Company's ongoing management succession planning and organizational development initiatives, while also promoting a values-driven culture and best practices around human capital management</w:t>
      </w:r>
    </w:p>
    <w:p>
      <w:pPr>
        <w:spacing w:after="0" w:line="27"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executive compensation structure and practices to ensure alignment with the Company's strategic initiatives and performance goals, while also considering emerging trends and regulatory matters</w:t>
      </w:r>
    </w:p>
    <w:p>
      <w:pPr>
        <w:spacing w:after="0" w:line="27"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market analyses prepared by FW Cook that compared the Company's executive compensation practices with market data for the Company's peer group, as well as with industry published survey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Investment Committee assists the Board with evaluating investments pursuant to or in support of the Company's growth strategy, both organically and through acquisitions. The members of the Investment Committee are Jeffry M. Householder, Chair, Thomas J. Bresnan, Lila A. Jaber and Sheree M. Petrone. The Investment Committee, in consultation with management, is authorized to review and approve capital investments and the disposition of certain assets as set forth in the Committee's charter up to $50 million. Investments above this threshold are presented to the full Board for their consideration. The Committee did not convene during 2025, as all investments related to or supporting the Company’s growth strategy were reviewed either by the full Board or under authority previously delegated by the Board. When appropriate, the Committee reviews various aspects of a transaction including, but not limited to, the estimated investment, internal rate of return, earnings contribution and ROE, strategic fit, and associated risks. The Committee exercises its responsibilities in a manner consistent with the Company's goal of pursuing long-term growth in shareholder value. Please view</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Committee's charter at </w:t>
      </w:r>
      <w:r>
        <w:rPr>
          <w:rFonts w:ascii="Times New Roman" w:cs="Times New Roman" w:eastAsia="Times New Roman" w:hAnsi="Times New Roman"/>
          <w:sz w:val="18"/>
          <w:szCs w:val="18"/>
          <w:u w:val="single" w:color="auto"/>
          <w:color w:val="auto"/>
        </w:rPr>
        <w:t>www.chpk.com/corporate responsibility/corporate governance/investment committee charter</w:t>
      </w:r>
      <w:r>
        <w:rPr>
          <w:rFonts w:ascii="Times New Roman" w:cs="Times New Roman" w:eastAsia="Times New Roman" w:hAnsi="Times New Roman"/>
          <w:sz w:val="18"/>
          <w:szCs w:val="18"/>
          <w:color w:val="auto"/>
        </w:rPr>
        <w:t xml:space="preserve"> for additional information on the Committee's responsibilities.</w:t>
      </w:r>
    </w:p>
    <w:p>
      <w:pPr>
        <w:sectPr>
          <w:pgSz w:w="11900" w:h="16838" w:orient="portrait"/>
          <w:cols w:equalWidth="0" w:num="1">
            <w:col w:w="11240"/>
          </w:cols>
          <w:pgMar w:left="320" w:top="9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36"/>
          <w:szCs w:val="36"/>
          <w:b w:val="1"/>
          <w:bCs w:val="1"/>
          <w:color w:val="00497F"/>
        </w:rPr>
        <w:t>Board and Committee Evaluations</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Annually, the Corporate Governance Committee reviews and establishes the criteria that is used by the Board, and the Audit, Compensation and Corporate Governance Committees, for conducting evaluations of their performance during the preceding year. The annual evaluation provides for continuous process improvements in Board and Committee functioning and communication, and is a medium for evaluating Board refreshment. The Board and its Committees conduct evaluations to assess the qualifications, attributes, skills and experience represented on the Board and its Committees, to consider whether appropriate resources are available to the Board and its Committees, and to assess whether the Board and its Committees are functioning effectively. An annual review of the evaluation methodology is performed to ensure the evaluations are aligned with our culture and growth, as well as with best practices. Periodically, the Chair of the Board, the Lead Director, and the Chair of the Corporate Governance Committee will conduct one-on-one discussions with each director. The Chair of the Corporate Governance Committee receives a report of the results of the Board and Corporate Governance Committee Evaluations. The Chairs of the Audit Committee and Compensation Committee receive a report of the results of their respective Committee Evaluations. The Committee Evaluation results are discussed at Committee meetings and reported to the Board at the next Board meeting. The Chair of the Corporate Governance Committee reports the results of the Board Evaluation at the next Board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Risk Oversight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is responsible for oversight of the Company's risk management activities, working closely with its standing Committees and the management team. Each standing Committee reports its discussions to the Board for consideration. As part of our enterprise risk management program, short and long-term risks are identified through top-down and bottom-up approaches and strategic plan assessments that depict potential market, operational, strategic, legal, regulatory, political, environmental, social, safety, compliance, and financial risks that could affect our operations, financial performance and/or strategic plan. In addition, the Board considers material risks that may cause a disruption to our businesses due to natural disasters, public health crises, and other circumstances severely interrupting business operations. The Board continuously reviews and monitors risk and receives regular updates on our Risk Scorecard, including the Company's risk profile and environment, risk trends, newly identified risks, and comparative information. More specifically, the Risk Scorecard provides a description of the risk, risk level, risk universe, and area of risk (e.g., operations, compliance, strategic, or financial). The Board also receives interim updates between meetings, and annual updates on the Company’s enterprise risk management program and the Company’s perspectives on the top risks.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General Counsel and Chief Policy and Risk Officer oversees the dedicated enterprise risk management team, who works closely with various organizational functions. This team is responsible for appropriately managing and promptly responding to evolving risk across the enterprise. They focus on processes such as risk identification, incident evaluation, implementation and monitoring of mitigation plans, and continuous improvement and training, which are necessary components of successfully managing risk. For example, our enterprise wide safety data management system is designed to facilitate capturing safety data across our operations. This data enhances our efforts in addressing specific risks related to safety. Additionally, in 2025, we created a new enterprise compliance and ethics function to further enhance our regulatory and operational compliance processes, including designating a lead compliance officer to oversee this new function.</w:t>
      </w:r>
    </w:p>
    <w:p>
      <w:pPr>
        <w:spacing w:after="0" w:line="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Company’s risk management process enables efficient and effective identification of emerging operational and market risks, assesses any impact on our operations, and continuously enhances our capabilities across the organization. This comprehensive risk management oversight enables the Board to prioritize and timely apply the appropriate oversight standard based on the level of risk, including its probability, impact, speed and market impact. The Board and its standing Committees, as applicable, regularly consult with external legal counsel, outside advisors and experts regarding certain identified risks, including, but not limited to, safety, cybersecurity, supply chain, public health crises, epidemics, pandemics, and market risk, as well as anticipated future threats and risk trends.</w:t>
      </w:r>
    </w:p>
    <w:p>
      <w:pPr>
        <w:spacing w:after="0" w:line="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"Risk Factors" section of our 2025 Annual Report on Form 10-K provides additional information regarding certain potential risks. After assessing our risks, internal processes, practices and controls are established to continually monitor and mitigate such risks. We recognize that purposeful and appropriate risk-taking is essential for execution of our strategic plan, for our overall continued growth, and for execution of initiatives that have the potential to generate value to our stockholders.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xml:space="preserve"> assists the Board in fulfilling its oversight of our risk exposure and implementation and effectiveness of our risk management programs, including enterprise risk management. The Committee reviews and considers various risks, including, but not limited to financial; internal controls; regulatory; credit and counterparty; market; liquidity; insurance; strategic; and business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4" w:name="page25"/>
    <w:bookmarkEnd w:id="24"/>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risks. The Committee also considers privacy; physical security; cybersecurity; artificial intelligence; and data security risks and developments, and reviews our insurance program and coverages that are in place to mitigate these and other risks.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xml:space="preserve"> assists the Board in fulfilling its oversight of risks that may arise in connection with our compensation programs and practices. The Committee considers the appropriateness of our compensation programs and practices and whether they incentivize short and long-term financial and operational performance without encouraging unnecessary risk. Specific items such as organizational development; executive retention; succession planning; organizational culture; and human capital management practices are reviewed and considered by the Committee. The </w:t>
      </w:r>
      <w:r>
        <w:rPr>
          <w:rFonts w:ascii="Times New Roman" w:cs="Times New Roman" w:eastAsia="Times New Roman" w:hAnsi="Times New Roman"/>
          <w:sz w:val="18"/>
          <w:szCs w:val="18"/>
          <w:b w:val="1"/>
          <w:bCs w:val="1"/>
          <w:color w:val="auto"/>
        </w:rPr>
        <w:t>Corporate Governance Committee</w:t>
      </w:r>
      <w:r>
        <w:rPr>
          <w:rFonts w:ascii="Times New Roman" w:cs="Times New Roman" w:eastAsia="Times New Roman" w:hAnsi="Times New Roman"/>
          <w:sz w:val="18"/>
          <w:szCs w:val="18"/>
          <w:color w:val="auto"/>
        </w:rPr>
        <w:t xml:space="preserve"> assists the Board in fulfilling its oversight of risks that may arise in connection with our governance structure, sustainability activities, and related practices. The Committee reviews our governance structure and practices and considers whether our ethical and operational framework is resilient and responsive to our employees and stockholders. Specific items such as Board succession planning; Board structure and composition; stockholder communications; director independence; sustainability; governmental affairs; artificial intelligence governance; and related governance practices are reviewed and considered by the Committee.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assists the Board in fulfilling its oversight of risks related to evaluating new investments to achieve our financial targets.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considers the financial and operational risks of entering into new, or expanding in existing, service territories and businesses.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Team Commitment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team collaborates throughout the year to identify the risks inherent in projects and initiatives, and more broadly across the enterprise. This enables us to assess the significance of each identified risk to our overall operations and its likelihood of materializing. Our Enterprise Risk Management framework follows best practices established by the Committee of Sponsoring Organizations (COSO). We have integrated this framework into our processes and decisions across the organization, thereby aligning our risk profile with the Company’s overall strategic goals and objectives. We prioritize the identified risks and develop treatment plans to mitigate the risks. Information sessions are held across the organization to discuss our risk profile, including quarterly leadership meetings to review changes in our risk posture and a sensitivity analysis. A risk heat map is prepared to show the overall impact on our ability to meet the Company’s strategic goals and objectives and shared regularly with the Board where it is discussed extensively.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internal audit team evaluates and tests our risk mitigation controls, enabling frequent adjustments to align our risk profile with operational growth and newly identified risk factors. Our top-down and bottom-up approaches are reflected throughout our disciplined approach to matters and our decision-making process. The management team is intimately involved in the identification and assessment of threats and our risk environment and the development and deployment of our risk management practices, and regularly collaborates with the Board and its standing Committees on our risk posture, including financial and investment activities, strategic plan initiatives, and macroeconomic contributors. The management team, representatives from our businesses, and cross-functional team members also routinely participate in internal committees and focus groups, such as cybersecurity, identity theft, sustainability, safety and risk management. Independent consultants and third parties periodically attend these virtual or in-person meetings to provide independent insight and education on various risk-related topics.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team at all levels of the organization collaborates with internal audit to identify new or evolving risks that could have a potential impact on the Company. In addition, our team actively works across the enterprise to identify, mitigate and respond to material risks that may cause a disruption to our business due to natural disasters, public health crises, and other circumstances severely interrupting business operations. Our team participates in industry events and speaks on risk-related matters alongside practice leaders. Information obtained from these additional avenues continues to strengthen our risk profile, controls, policies and practices, and enables us to provide informed recommendations to the Audit Committee for consideration.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Director Compensation</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Compensation Committee reviews director compensation annually to ensure the appropriate compensation arrangements are in place for non-employee directors. The Committee subsequently reports its findings and any recommendations to the Board. The Board approves all director compensation arrangements. A director who is also an employee of the Company receives no additional compensation for service as a director.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Directors may defer all or a portion of their Board or Committee retainers in accordance with the Non-qualified Deferred Compensation Plan, which is further described in the </w:t>
      </w:r>
      <w:r>
        <w:rPr>
          <w:rFonts w:ascii="Times New Roman" w:cs="Times New Roman" w:eastAsia="Times New Roman" w:hAnsi="Times New Roman"/>
          <w:sz w:val="18"/>
          <w:szCs w:val="18"/>
          <w:i w:val="1"/>
          <w:iCs w:val="1"/>
          <w:color w:val="auto"/>
        </w:rPr>
        <w:t>Non-Qualified Deferred Compensation Plan</w:t>
      </w:r>
      <w:r>
        <w:rPr>
          <w:rFonts w:ascii="Times New Roman" w:cs="Times New Roman" w:eastAsia="Times New Roman" w:hAnsi="Times New Roman"/>
          <w:sz w:val="18"/>
          <w:szCs w:val="18"/>
          <w:color w:val="auto"/>
        </w:rPr>
        <w:t xml:space="preserve"> section in this Proxy Statement. Deferrals made under the NQDC Plan are on a pre-tax basis until the director's separation from service with the Company and its affiliates or another specified date. At all times, directors have a 100% vested interest in the amount of cash and/or stock that is deferred.</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9"/>
          <w:szCs w:val="29"/>
          <w:b w:val="1"/>
          <w:bCs w:val="1"/>
          <w:color w:val="006EBF"/>
        </w:rPr>
        <w:t>Director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accordance with our Corporate Governance Guidelines, each non-management director is required to own, beneficially and of record, a number of shares of our common stock with a market value that meets or exceeds a threshold established by the Board from time to time. This ownership threshold is currently five times the amount of the annual cash retainer in effect on February 24, 2017 and payable to a non-management director for service on the Board (the "Director Stock Ownership Requirement"). Each non-management director must comply with the Director Stock Ownership Requirement within five years from the later of (i) the date of such director’s initial appointment or election to the Board and (ii) December 6, 2017, the effective date of the director stock ownership guidelines (the "Ownership Period"). A director shall be in compliance with the director stock ownership guidelines if he or she satisfies the Director Stock Ownership Requirement at any time during the Ownership Period and then continues to own not less than the number of shares owned on the date of such compliance (taking into account any stock split or combination transactions). The Corporate Governance Committee, in its sole discretion, may consider the circumstances surrounding any shortfall in ownership by a director and address such situation as it deems appropriate. All non-employee directors currently exceed the Director Stock Ownership Requirement or are within the applicable Ownership Period for achievement of the Director Stock Ownership Requirement.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Independent Compensation Consultant's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May 2025, the Compensation Committee received a non-employee director compensation presentation prepared by FW Cook. The analysis compared our then current director compensation arrangements against the Company's compensation peer group and a broader energy industry survey group. The peer group used for the purposes of this analysis is the same group of companies used to evaluate the Company's executive compensation program. The Compensation Committee reviewed, discussed and considered the analysis and other relevant factors, including annual cash and equity retainers, meeting fees, and committee compensation. At its meeting held in May 2025, the Board, upon a recommendation of the Compensation Committee, approved non-employee director compensation as reflected in the </w:t>
      </w:r>
      <w:r>
        <w:rPr>
          <w:rFonts w:ascii="Times New Roman" w:cs="Times New Roman" w:eastAsia="Times New Roman" w:hAnsi="Times New Roman"/>
          <w:sz w:val="18"/>
          <w:szCs w:val="18"/>
          <w:i w:val="1"/>
          <w:iCs w:val="1"/>
          <w:color w:val="auto"/>
        </w:rPr>
        <w:t>Non-Employee Director Compensation</w:t>
      </w:r>
      <w:r>
        <w:rPr>
          <w:rFonts w:ascii="Times New Roman" w:cs="Times New Roman" w:eastAsia="Times New Roman" w:hAnsi="Times New Roman"/>
          <w:sz w:val="18"/>
          <w:szCs w:val="18"/>
          <w:color w:val="auto"/>
        </w:rPr>
        <w:t xml:space="preserve"> section of this Proxy Statement. In the future, the Board may modify director compensation as it deems appropriate.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non-employee director receives cash and equity compensation for serving on the Board. In May 2025, the Board reviewed non-employee director compensation and determined that changes to the non-employee director compensation were appropriate. The amounts approved by the Board are reflected in the following table. Directors may not elect to receive either their cash compensation in stock or their stock compensation in cash. Directors are reimbursed for business expenses incurred in connection with attending meetings and performing other Board-related services, including external director education.</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2025 Annual Meeting until</w:t>
            </w:r>
          </w:p>
        </w:tc>
        <w:tc>
          <w:tcPr>
            <w:tcW w:w="30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 Annual Meeting until</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2026 Annual Meeting</w:t>
            </w:r>
          </w:p>
        </w:tc>
        <w:tc>
          <w:tcPr>
            <w:tcW w:w="30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the 2025 Annual Meeting</w:t>
            </w:r>
          </w:p>
        </w:tc>
        <w:tc>
          <w:tcPr>
            <w:tcW w:w="0" w:type="dxa"/>
            <w:vAlign w:val="bottom"/>
          </w:tcPr>
          <w:p>
            <w:pPr>
              <w:spacing w:after="0"/>
              <w:rPr>
                <w:sz w:val="1"/>
                <w:szCs w:val="1"/>
                <w:color w:val="auto"/>
              </w:rPr>
            </w:pPr>
          </w:p>
        </w:tc>
      </w:tr>
      <w:tr>
        <w:trPr>
          <w:trHeight w:val="27"/>
        </w:trPr>
        <w:tc>
          <w:tcPr>
            <w:tcW w:w="3840" w:type="dxa"/>
            <w:vAlign w:val="bottom"/>
            <w:vMerge w:val="restart"/>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Board Retainers - Cash</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
                <w:szCs w:val="2"/>
                <w:color w:val="auto"/>
              </w:rPr>
            </w:pPr>
          </w:p>
        </w:tc>
        <w:tc>
          <w:tcPr>
            <w:tcW w:w="1180" w:type="dxa"/>
            <w:vAlign w:val="bottom"/>
            <w:tcBorders>
              <w:bottom w:val="single" w:sz="8" w:color="B6B6B6"/>
            </w:tcBorders>
          </w:tcPr>
          <w:p>
            <w:pPr>
              <w:spacing w:after="0"/>
              <w:rPr>
                <w:sz w:val="2"/>
                <w:szCs w:val="2"/>
                <w:color w:val="auto"/>
              </w:rPr>
            </w:pPr>
          </w:p>
        </w:tc>
        <w:tc>
          <w:tcPr>
            <w:tcW w:w="1840" w:type="dxa"/>
            <w:vAlign w:val="bottom"/>
            <w:tcBorders>
              <w:bottom w:val="single" w:sz="8" w:color="B6B6B6"/>
            </w:tcBorders>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Borders>
              <w:bottom w:val="single" w:sz="8" w:color="B6B6B6"/>
            </w:tcBorders>
          </w:tcPr>
          <w:p>
            <w:pPr>
              <w:spacing w:after="0"/>
              <w:rPr>
                <w:sz w:val="2"/>
                <w:szCs w:val="2"/>
                <w:color w:val="auto"/>
              </w:rPr>
            </w:pPr>
          </w:p>
        </w:tc>
        <w:tc>
          <w:tcPr>
            <w:tcW w:w="186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40" w:type="dxa"/>
            <w:vAlign w:val="bottom"/>
            <w:tcBorders>
              <w:bottom w:val="single" w:sz="8" w:color="ADADAD"/>
            </w:tcBorders>
            <w:vMerge w:val="continue"/>
          </w:tcPr>
          <w:p>
            <w:pPr>
              <w:spacing w:after="0"/>
              <w:rPr>
                <w:sz w:val="18"/>
                <w:szCs w:val="18"/>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Member</w:t>
            </w:r>
          </w:p>
        </w:tc>
        <w:tc>
          <w:tcPr>
            <w:tcW w:w="1540" w:type="dxa"/>
            <w:vAlign w:val="bottom"/>
            <w:gridSpan w:val="2"/>
            <w:vMerge w:val="continue"/>
          </w:tcPr>
          <w:p>
            <w:pPr>
              <w:spacing w:after="0"/>
              <w:rPr>
                <w:sz w:val="20"/>
                <w:szCs w:val="20"/>
                <w:color w:val="auto"/>
              </w:rPr>
            </w:pP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90,000</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1180" w:type="dxa"/>
            <w:vAlign w:val="bottom"/>
            <w:tcBorders>
              <w:bottom w:val="single" w:sz="8" w:color="DDDDDD"/>
            </w:tcBorders>
          </w:tcPr>
          <w:p>
            <w:pPr>
              <w:spacing w:after="0"/>
              <w:rPr>
                <w:sz w:val="2"/>
                <w:szCs w:val="2"/>
                <w:color w:val="auto"/>
              </w:rPr>
            </w:pPr>
          </w:p>
        </w:tc>
        <w:tc>
          <w:tcPr>
            <w:tcW w:w="184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1200" w:type="dxa"/>
            <w:vAlign w:val="bottom"/>
            <w:tcBorders>
              <w:bottom w:val="single" w:sz="8" w:color="DDDDDD"/>
            </w:tcBorders>
          </w:tcPr>
          <w:p>
            <w:pPr>
              <w:spacing w:after="0"/>
              <w:rPr>
                <w:sz w:val="2"/>
                <w:szCs w:val="2"/>
                <w:color w:val="auto"/>
              </w:rPr>
            </w:pPr>
          </w:p>
        </w:tc>
        <w:tc>
          <w:tcPr>
            <w:tcW w:w="186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Non-employee Lead Director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1180" w:type="dxa"/>
            <w:vAlign w:val="bottom"/>
            <w:tcBorders>
              <w:bottom w:val="single" w:sz="8" w:color="DDDDDD"/>
            </w:tcBorders>
          </w:tcPr>
          <w:p>
            <w:pPr>
              <w:spacing w:after="0"/>
              <w:rPr>
                <w:sz w:val="2"/>
                <w:szCs w:val="2"/>
                <w:color w:val="auto"/>
              </w:rPr>
            </w:pPr>
          </w:p>
        </w:tc>
        <w:tc>
          <w:tcPr>
            <w:tcW w:w="184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1200" w:type="dxa"/>
            <w:vAlign w:val="bottom"/>
            <w:tcBorders>
              <w:bottom w:val="single" w:sz="8" w:color="DDDDDD"/>
            </w:tcBorders>
          </w:tcPr>
          <w:p>
            <w:pPr>
              <w:spacing w:after="0"/>
              <w:rPr>
                <w:sz w:val="2"/>
                <w:szCs w:val="2"/>
                <w:color w:val="auto"/>
              </w:rPr>
            </w:pPr>
          </w:p>
        </w:tc>
        <w:tc>
          <w:tcPr>
            <w:tcW w:w="186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840" w:type="dxa"/>
            <w:vAlign w:val="bottom"/>
            <w:tcBorders>
              <w:bottom w:val="single" w:sz="8" w:color="ADADA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Board Retainers - Equity</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Member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120,000</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180" w:type="dxa"/>
            <w:vAlign w:val="bottom"/>
            <w:tcBorders>
              <w:bottom w:val="single" w:sz="8" w:color="ECECEC"/>
            </w:tcBorders>
          </w:tcPr>
          <w:p>
            <w:pPr>
              <w:spacing w:after="0"/>
              <w:rPr>
                <w:sz w:val="2"/>
                <w:szCs w:val="2"/>
                <w:color w:val="auto"/>
              </w:rPr>
            </w:pPr>
          </w:p>
        </w:tc>
        <w:tc>
          <w:tcPr>
            <w:tcW w:w="1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200" w:type="dxa"/>
            <w:vAlign w:val="bottom"/>
            <w:tcBorders>
              <w:bottom w:val="single" w:sz="8" w:color="ECECEC"/>
            </w:tcBorders>
          </w:tcPr>
          <w:p>
            <w:pPr>
              <w:spacing w:after="0"/>
              <w:rPr>
                <w:sz w:val="2"/>
                <w:szCs w:val="2"/>
                <w:color w:val="auto"/>
              </w:rPr>
            </w:pPr>
          </w:p>
        </w:tc>
        <w:tc>
          <w:tcPr>
            <w:tcW w:w="1860" w:type="dxa"/>
            <w:vAlign w:val="bottom"/>
            <w:tcBorders>
              <w:bottom w:val="single" w:sz="8" w:color="ECECEC"/>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840" w:type="dxa"/>
            <w:vAlign w:val="bottom"/>
            <w:tcBorders>
              <w:bottom w:val="single" w:sz="8" w:color="ADADA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Retainers - Cash</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Committee Member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8,500</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180" w:type="dxa"/>
            <w:vAlign w:val="bottom"/>
            <w:tcBorders>
              <w:bottom w:val="single" w:sz="8" w:color="ECECEC"/>
            </w:tcBorders>
          </w:tcPr>
          <w:p>
            <w:pPr>
              <w:spacing w:after="0"/>
              <w:rPr>
                <w:sz w:val="2"/>
                <w:szCs w:val="2"/>
                <w:color w:val="auto"/>
              </w:rPr>
            </w:pPr>
          </w:p>
        </w:tc>
        <w:tc>
          <w:tcPr>
            <w:tcW w:w="1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200" w:type="dxa"/>
            <w:vAlign w:val="bottom"/>
            <w:tcBorders>
              <w:bottom w:val="single" w:sz="8" w:color="ECECEC"/>
            </w:tcBorders>
          </w:tcPr>
          <w:p>
            <w:pPr>
              <w:spacing w:after="0"/>
              <w:rPr>
                <w:sz w:val="2"/>
                <w:szCs w:val="2"/>
                <w:color w:val="auto"/>
              </w:rPr>
            </w:pPr>
          </w:p>
        </w:tc>
        <w:tc>
          <w:tcPr>
            <w:tcW w:w="1860" w:type="dxa"/>
            <w:vAlign w:val="bottom"/>
            <w:tcBorders>
              <w:bottom w:val="single" w:sz="8" w:color="ECECE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 Committee Chair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20,000</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180" w:type="dxa"/>
            <w:vAlign w:val="bottom"/>
            <w:tcBorders>
              <w:bottom w:val="single" w:sz="8" w:color="ECECEC"/>
            </w:tcBorders>
          </w:tcPr>
          <w:p>
            <w:pPr>
              <w:spacing w:after="0"/>
              <w:rPr>
                <w:sz w:val="2"/>
                <w:szCs w:val="2"/>
                <w:color w:val="auto"/>
              </w:rPr>
            </w:pPr>
          </w:p>
        </w:tc>
        <w:tc>
          <w:tcPr>
            <w:tcW w:w="1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200" w:type="dxa"/>
            <w:vAlign w:val="bottom"/>
            <w:tcBorders>
              <w:bottom w:val="single" w:sz="8" w:color="ECECEC"/>
            </w:tcBorders>
          </w:tcPr>
          <w:p>
            <w:pPr>
              <w:spacing w:after="0"/>
              <w:rPr>
                <w:sz w:val="2"/>
                <w:szCs w:val="2"/>
                <w:color w:val="auto"/>
              </w:rPr>
            </w:pPr>
          </w:p>
        </w:tc>
        <w:tc>
          <w:tcPr>
            <w:tcW w:w="1860" w:type="dxa"/>
            <w:vAlign w:val="bottom"/>
            <w:tcBorders>
              <w:bottom w:val="single" w:sz="8" w:color="ECECE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17,500</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180" w:type="dxa"/>
            <w:vAlign w:val="bottom"/>
            <w:tcBorders>
              <w:bottom w:val="single" w:sz="8" w:color="ECECEC"/>
            </w:tcBorders>
          </w:tcPr>
          <w:p>
            <w:pPr>
              <w:spacing w:after="0"/>
              <w:rPr>
                <w:sz w:val="2"/>
                <w:szCs w:val="2"/>
                <w:color w:val="auto"/>
              </w:rPr>
            </w:pPr>
          </w:p>
        </w:tc>
        <w:tc>
          <w:tcPr>
            <w:tcW w:w="1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200" w:type="dxa"/>
            <w:vAlign w:val="bottom"/>
            <w:tcBorders>
              <w:bottom w:val="single" w:sz="8" w:color="ECECEC"/>
            </w:tcBorders>
          </w:tcPr>
          <w:p>
            <w:pPr>
              <w:spacing w:after="0"/>
              <w:rPr>
                <w:sz w:val="2"/>
                <w:szCs w:val="2"/>
                <w:color w:val="auto"/>
              </w:rPr>
            </w:pPr>
          </w:p>
        </w:tc>
        <w:tc>
          <w:tcPr>
            <w:tcW w:w="1860" w:type="dxa"/>
            <w:vAlign w:val="bottom"/>
            <w:tcBorders>
              <w:bottom w:val="single" w:sz="8" w:color="ECECEC"/>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Governance Committee Chair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17,500</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180" w:type="dxa"/>
            <w:vAlign w:val="bottom"/>
            <w:tcBorders>
              <w:bottom w:val="single" w:sz="8" w:color="ECECEC"/>
            </w:tcBorders>
          </w:tcPr>
          <w:p>
            <w:pPr>
              <w:spacing w:after="0"/>
              <w:rPr>
                <w:sz w:val="2"/>
                <w:szCs w:val="2"/>
                <w:color w:val="auto"/>
              </w:rPr>
            </w:pPr>
          </w:p>
        </w:tc>
        <w:tc>
          <w:tcPr>
            <w:tcW w:w="1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200" w:type="dxa"/>
            <w:vAlign w:val="bottom"/>
            <w:tcBorders>
              <w:bottom w:val="single" w:sz="8" w:color="ECECEC"/>
            </w:tcBorders>
          </w:tcPr>
          <w:p>
            <w:pPr>
              <w:spacing w:after="0"/>
              <w:rPr>
                <w:sz w:val="2"/>
                <w:szCs w:val="2"/>
                <w:color w:val="auto"/>
              </w:rPr>
            </w:pPr>
          </w:p>
        </w:tc>
        <w:tc>
          <w:tcPr>
            <w:tcW w:w="1860" w:type="dxa"/>
            <w:vAlign w:val="bottom"/>
            <w:tcBorders>
              <w:bottom w:val="single" w:sz="8" w:color="ECECEC"/>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Committee Chair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180" w:type="dxa"/>
            <w:vAlign w:val="bottom"/>
            <w:tcBorders>
              <w:bottom w:val="single" w:sz="8" w:color="ECECEC"/>
            </w:tcBorders>
          </w:tcPr>
          <w:p>
            <w:pPr>
              <w:spacing w:after="0"/>
              <w:rPr>
                <w:sz w:val="2"/>
                <w:szCs w:val="2"/>
                <w:color w:val="auto"/>
              </w:rPr>
            </w:pPr>
          </w:p>
        </w:tc>
        <w:tc>
          <w:tcPr>
            <w:tcW w:w="1840" w:type="dxa"/>
            <w:vAlign w:val="bottom"/>
            <w:tcBorders>
              <w:bottom w:val="single" w:sz="8" w:color="ECECEC"/>
            </w:tcBorders>
          </w:tcPr>
          <w:p>
            <w:pPr>
              <w:spacing w:after="0"/>
              <w:rPr>
                <w:sz w:val="2"/>
                <w:szCs w:val="2"/>
                <w:color w:val="auto"/>
              </w:rPr>
            </w:pPr>
          </w:p>
        </w:tc>
        <w:tc>
          <w:tcPr>
            <w:tcW w:w="360" w:type="dxa"/>
            <w:vAlign w:val="bottom"/>
            <w:tcBorders>
              <w:bottom w:val="single" w:sz="8" w:color="ECECEC"/>
            </w:tcBorders>
          </w:tcPr>
          <w:p>
            <w:pPr>
              <w:spacing w:after="0"/>
              <w:rPr>
                <w:sz w:val="2"/>
                <w:szCs w:val="2"/>
                <w:color w:val="auto"/>
              </w:rPr>
            </w:pPr>
          </w:p>
        </w:tc>
        <w:tc>
          <w:tcPr>
            <w:tcW w:w="1200" w:type="dxa"/>
            <w:vAlign w:val="bottom"/>
            <w:tcBorders>
              <w:bottom w:val="single" w:sz="8" w:color="ECECEC"/>
            </w:tcBorders>
          </w:tcPr>
          <w:p>
            <w:pPr>
              <w:spacing w:after="0"/>
              <w:rPr>
                <w:sz w:val="2"/>
                <w:szCs w:val="2"/>
                <w:color w:val="auto"/>
              </w:rPr>
            </w:pPr>
          </w:p>
        </w:tc>
        <w:tc>
          <w:tcPr>
            <w:tcW w:w="1860" w:type="dxa"/>
            <w:vAlign w:val="bottom"/>
            <w:tcBorders>
              <w:bottom w:val="single" w:sz="8" w:color="ECECE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80" w:right="20" w:hanging="91"/>
        <w:spacing w:after="0" w:line="222" w:lineRule="auto"/>
        <w:tabs>
          <w:tab w:leader="none" w:pos="173" w:val="left"/>
        </w:tabs>
        <w:numPr>
          <w:ilvl w:val="0"/>
          <w:numId w:val="1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No additional compensation is received for attendance at a Board meeting. Mr. Householder, our President and Chief Executive Officer, serves as Chair of the Board and as an employee receives no additional compensation.</w:t>
      </w:r>
    </w:p>
    <w:p>
      <w:pPr>
        <w:ind w:left="160" w:hanging="71"/>
        <w:spacing w:after="0" w:line="238" w:lineRule="auto"/>
        <w:tabs>
          <w:tab w:leader="none" w:pos="160" w:val="left"/>
        </w:tabs>
        <w:numPr>
          <w:ilvl w:val="0"/>
          <w:numId w:val="2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Fractional shares are rounded down to the nearest whole number. Fractional shares are paid in cash.</w:t>
      </w:r>
    </w:p>
    <w:p>
      <w:pPr>
        <w:spacing w:after="0" w:line="31" w:lineRule="exact"/>
        <w:rPr>
          <w:sz w:val="20"/>
          <w:szCs w:val="20"/>
          <w:color w:val="auto"/>
        </w:rPr>
      </w:pPr>
    </w:p>
    <w:p>
      <w:pPr>
        <w:jc w:val="both"/>
        <w:ind w:left="180" w:hanging="91"/>
        <w:spacing w:after="0" w:line="249" w:lineRule="auto"/>
        <w:tabs>
          <w:tab w:leader="none" w:pos="173" w:val="left"/>
        </w:tabs>
        <w:numPr>
          <w:ilvl w:val="0"/>
          <w:numId w:val="21"/>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 addition to Board retainers, non-employee Committee members receive a retainer fee for each committee on which they serve. No additional compensation is received for attendance at a Committee meeting. The non-employee Chairs of the committees also receive a Chair retainer for service in such capacity. Mr. Householder, our President and Chief Executive Officer, currently serves as Chair of the Investment Committee and as an employee receives no additional compensation.</w:t>
      </w:r>
    </w:p>
    <w:p>
      <w:pPr>
        <w:sectPr>
          <w:pgSz w:w="11900" w:h="16838" w:orient="portrait"/>
          <w:cols w:equalWidth="0" w:num="1">
            <w:col w:w="11240"/>
          </w:cols>
          <w:pgMar w:left="320" w:top="898"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9"/>
          <w:szCs w:val="29"/>
          <w:b w:val="1"/>
          <w:bCs w:val="1"/>
          <w:color w:val="006EBF"/>
        </w:rPr>
        <w:t>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compensation earned or paid to non-employee directors in 2025 for services on the Board from the 2025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until the 2026 Annual Meeting of Stockholders: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tc>
        <w:tc>
          <w:tcPr>
            <w:tcW w:w="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Director Name</w:t>
            </w:r>
            <w:r>
              <w:rPr>
                <w:rFonts w:ascii="Times New Roman" w:cs="Times New Roman" w:eastAsia="Times New Roman" w:hAnsi="Times New Roman"/>
                <w:sz w:val="9"/>
                <w:szCs w:val="9"/>
                <w:color w:val="auto"/>
              </w:rPr>
              <w:t>(1)</w:t>
            </w:r>
          </w:p>
        </w:tc>
        <w:tc>
          <w:tcPr>
            <w:tcW w:w="380" w:type="dxa"/>
            <w:vAlign w:val="bottom"/>
          </w:tcPr>
          <w:p>
            <w:pPr>
              <w:spacing w:after="0"/>
              <w:rPr>
                <w:sz w:val="17"/>
                <w:szCs w:val="17"/>
                <w:color w:val="auto"/>
              </w:rPr>
            </w:pPr>
          </w:p>
        </w:tc>
        <w:tc>
          <w:tcPr>
            <w:tcW w:w="2000" w:type="dxa"/>
            <w:vAlign w:val="bottom"/>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Fees Earned or</w:t>
            </w:r>
          </w:p>
        </w:tc>
        <w:tc>
          <w:tcPr>
            <w:tcW w:w="960" w:type="dxa"/>
            <w:vAlign w:val="bottom"/>
          </w:tcPr>
          <w:p>
            <w:pPr>
              <w:spacing w:after="0"/>
              <w:rPr>
                <w:sz w:val="17"/>
                <w:szCs w:val="17"/>
                <w:color w:val="auto"/>
              </w:rPr>
            </w:pPr>
          </w:p>
        </w:tc>
        <w:tc>
          <w:tcPr>
            <w:tcW w:w="1820" w:type="dxa"/>
            <w:vAlign w:val="bottom"/>
          </w:tcPr>
          <w:p>
            <w:pPr>
              <w:jc w:val="right"/>
              <w:ind w:right="1090"/>
              <w:spacing w:after="0" w:line="202" w:lineRule="exact"/>
              <w:rPr>
                <w:sz w:val="20"/>
                <w:szCs w:val="20"/>
                <w:color w:val="auto"/>
              </w:rPr>
            </w:pPr>
            <w:r>
              <w:rPr>
                <w:rFonts w:ascii="Times New Roman" w:cs="Times New Roman" w:eastAsia="Times New Roman" w:hAnsi="Times New Roman"/>
                <w:sz w:val="18"/>
                <w:szCs w:val="18"/>
                <w:b w:val="1"/>
                <w:bCs w:val="1"/>
                <w:color w:val="auto"/>
              </w:rPr>
              <w:t>Stock</w:t>
            </w:r>
          </w:p>
        </w:tc>
        <w:tc>
          <w:tcPr>
            <w:tcW w:w="228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Total</w:t>
            </w:r>
            <w:r>
              <w:rPr>
                <w:rFonts w:ascii="Times New Roman" w:cs="Times New Roman" w:eastAsia="Times New Roman" w:hAnsi="Times New Roman"/>
                <w:sz w:val="9"/>
                <w:szCs w:val="9"/>
                <w:color w:val="auto"/>
                <w:w w:val="96"/>
              </w:rPr>
              <w:t>(4)</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B6B6B6"/>
            </w:tcBorders>
            <w:vMerge w:val="continue"/>
          </w:tcPr>
          <w:p>
            <w:pPr>
              <w:spacing w:after="0"/>
              <w:rPr>
                <w:sz w:val="21"/>
                <w:szCs w:val="21"/>
                <w:color w:val="auto"/>
              </w:rPr>
            </w:pPr>
          </w:p>
        </w:tc>
        <w:tc>
          <w:tcPr>
            <w:tcW w:w="380" w:type="dxa"/>
            <w:vAlign w:val="bottom"/>
            <w:tcBorders>
              <w:bottom w:val="single" w:sz="8" w:color="B6B6B6"/>
            </w:tcBorders>
          </w:tcPr>
          <w:p>
            <w:pPr>
              <w:spacing w:after="0"/>
              <w:rPr>
                <w:sz w:val="21"/>
                <w:szCs w:val="21"/>
                <w:color w:val="auto"/>
              </w:rPr>
            </w:pPr>
          </w:p>
        </w:tc>
        <w:tc>
          <w:tcPr>
            <w:tcW w:w="2000" w:type="dxa"/>
            <w:vAlign w:val="bottom"/>
            <w:tcBorders>
              <w:bottom w:val="single" w:sz="8" w:color="B6B6B6"/>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Paid in Cash</w:t>
            </w:r>
            <w:r>
              <w:rPr>
                <w:rFonts w:ascii="Times New Roman" w:cs="Times New Roman" w:eastAsia="Times New Roman" w:hAnsi="Times New Roman"/>
                <w:sz w:val="9"/>
                <w:szCs w:val="9"/>
                <w:color w:val="auto"/>
              </w:rPr>
              <w:t>(2)</w:t>
            </w:r>
          </w:p>
        </w:tc>
        <w:tc>
          <w:tcPr>
            <w:tcW w:w="960" w:type="dxa"/>
            <w:vAlign w:val="bottom"/>
            <w:tcBorders>
              <w:bottom w:val="single" w:sz="8" w:color="B6B6B6"/>
            </w:tcBorders>
          </w:tcPr>
          <w:p>
            <w:pPr>
              <w:spacing w:after="0"/>
              <w:rPr>
                <w:sz w:val="21"/>
                <w:szCs w:val="21"/>
                <w:color w:val="auto"/>
              </w:rPr>
            </w:pPr>
          </w:p>
        </w:tc>
        <w:tc>
          <w:tcPr>
            <w:tcW w:w="1820" w:type="dxa"/>
            <w:vAlign w:val="bottom"/>
            <w:tcBorders>
              <w:bottom w:val="single" w:sz="8" w:color="B6B6B6"/>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9"/>
                <w:szCs w:val="9"/>
                <w:color w:val="auto"/>
              </w:rPr>
              <w:t>(3)</w:t>
            </w:r>
          </w:p>
        </w:tc>
        <w:tc>
          <w:tcPr>
            <w:tcW w:w="2280" w:type="dxa"/>
            <w:vAlign w:val="bottom"/>
            <w:tcBorders>
              <w:bottom w:val="single" w:sz="8" w:color="B6B6B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Lisa G. Bisaccia</w:t>
            </w:r>
            <w:r>
              <w:rPr>
                <w:rFonts w:ascii="Times New Roman" w:cs="Times New Roman" w:eastAsia="Times New Roman" w:hAnsi="Times New Roman"/>
                <w:sz w:val="9"/>
                <w:szCs w:val="9"/>
                <w:color w:val="auto"/>
              </w:rPr>
              <w:t>(5)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124,525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200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1820" w:type="dxa"/>
            <w:vAlign w:val="bottom"/>
            <w:tcBorders>
              <w:bottom w:val="single" w:sz="8" w:color="DDDDDD"/>
            </w:tcBorders>
          </w:tcPr>
          <w:p>
            <w:pPr>
              <w:spacing w:after="0"/>
              <w:rPr>
                <w:sz w:val="2"/>
                <w:szCs w:val="2"/>
                <w:color w:val="auto"/>
              </w:rPr>
            </w:pPr>
          </w:p>
        </w:tc>
        <w:tc>
          <w:tcPr>
            <w:tcW w:w="22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Thomas J. Bresnan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152,025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$272,000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200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1820" w:type="dxa"/>
            <w:vAlign w:val="bottom"/>
            <w:tcBorders>
              <w:bottom w:val="single" w:sz="8" w:color="DDDDDD"/>
            </w:tcBorders>
          </w:tcPr>
          <w:p>
            <w:pPr>
              <w:spacing w:after="0"/>
              <w:rPr>
                <w:sz w:val="2"/>
                <w:szCs w:val="2"/>
                <w:color w:val="auto"/>
              </w:rPr>
            </w:pPr>
          </w:p>
        </w:tc>
        <w:tc>
          <w:tcPr>
            <w:tcW w:w="22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DDDDDD"/>
            </w:tcBorders>
          </w:tcPr>
          <w:p>
            <w:pPr>
              <w:ind w:left="600"/>
              <w:spacing w:after="0"/>
              <w:rPr>
                <w:sz w:val="20"/>
                <w:szCs w:val="20"/>
                <w:color w:val="auto"/>
              </w:rPr>
            </w:pPr>
            <w:r>
              <w:rPr>
                <w:rFonts w:ascii="Times New Roman" w:cs="Times New Roman" w:eastAsia="Times New Roman" w:hAnsi="Times New Roman"/>
                <w:sz w:val="18"/>
                <w:szCs w:val="18"/>
                <w:color w:val="auto"/>
              </w:rPr>
              <w:t>Elisabeth A. Eden</w:t>
            </w:r>
            <w:r>
              <w:rPr>
                <w:rFonts w:ascii="Times New Roman" w:cs="Times New Roman" w:eastAsia="Times New Roman" w:hAnsi="Times New Roman"/>
                <w:sz w:val="23"/>
                <w:szCs w:val="23"/>
                <w:color w:val="auto"/>
                <w:vertAlign w:val="superscript"/>
              </w:rPr>
              <w:t>(6)</w:t>
            </w:r>
          </w:p>
        </w:tc>
        <w:tc>
          <w:tcPr>
            <w:tcW w:w="3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DDDDDD"/>
            </w:tcBorders>
          </w:tcPr>
          <w:p>
            <w:pPr>
              <w:jc w:val="right"/>
              <w:ind w:right="690"/>
              <w:spacing w:after="0"/>
              <w:rPr>
                <w:sz w:val="20"/>
                <w:szCs w:val="20"/>
                <w:color w:val="auto"/>
              </w:rPr>
            </w:pPr>
            <w:r>
              <w:rPr>
                <w:rFonts w:ascii="Times New Roman" w:cs="Times New Roman" w:eastAsia="Times New Roman" w:hAnsi="Times New Roman"/>
                <w:sz w:val="18"/>
                <w:szCs w:val="18"/>
                <w:color w:val="auto"/>
              </w:rPr>
              <w:t>63,147</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DDDDDD"/>
            </w:tcBorders>
          </w:tcPr>
          <w:p>
            <w:pPr>
              <w:jc w:val="right"/>
              <w:ind w:right="750"/>
              <w:spacing w:after="0"/>
              <w:rPr>
                <w:sz w:val="20"/>
                <w:szCs w:val="20"/>
                <w:color w:val="auto"/>
              </w:rPr>
            </w:pPr>
            <w:r>
              <w:rPr>
                <w:rFonts w:ascii="Times New Roman" w:cs="Times New Roman" w:eastAsia="Times New Roman" w:hAnsi="Times New Roman"/>
                <w:sz w:val="18"/>
                <w:szCs w:val="18"/>
                <w:color w:val="auto"/>
              </w:rPr>
              <w:t>76,717</w:t>
            </w:r>
          </w:p>
        </w:tc>
        <w:tc>
          <w:tcPr>
            <w:tcW w:w="2280" w:type="dxa"/>
            <w:vAlign w:val="bottom"/>
            <w:tcBorders>
              <w:bottom w:val="single" w:sz="8" w:color="DDDDDD"/>
            </w:tcBorders>
          </w:tcPr>
          <w:p>
            <w:pPr>
              <w:jc w:val="center"/>
              <w:spacing w:after="0"/>
              <w:rPr>
                <w:sz w:val="20"/>
                <w:szCs w:val="20"/>
                <w:color w:val="auto"/>
              </w:rPr>
            </w:pPr>
            <w:r>
              <w:rPr>
                <w:rFonts w:ascii="Times New Roman" w:cs="Times New Roman" w:eastAsia="Times New Roman" w:hAnsi="Times New Roman"/>
                <w:sz w:val="18"/>
                <w:szCs w:val="18"/>
                <w:color w:val="auto"/>
              </w:rPr>
              <w:t>$139,864</w:t>
            </w:r>
          </w:p>
        </w:tc>
        <w:tc>
          <w:tcPr>
            <w:tcW w:w="0" w:type="dxa"/>
            <w:vAlign w:val="bottom"/>
          </w:tcPr>
          <w:p>
            <w:pPr>
              <w:spacing w:after="0"/>
              <w:rPr>
                <w:sz w:val="1"/>
                <w:szCs w:val="1"/>
                <w:color w:val="auto"/>
              </w:rPr>
            </w:pPr>
          </w:p>
        </w:tc>
      </w:tr>
      <w:tr>
        <w:trPr>
          <w:trHeight w:val="237"/>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Ronald G. Forsythe, Jr.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107,025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200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1820" w:type="dxa"/>
            <w:vAlign w:val="bottom"/>
            <w:tcBorders>
              <w:bottom w:val="single" w:sz="8" w:color="DDDDDD"/>
            </w:tcBorders>
          </w:tcPr>
          <w:p>
            <w:pPr>
              <w:spacing w:after="0"/>
              <w:rPr>
                <w:sz w:val="2"/>
                <w:szCs w:val="2"/>
                <w:color w:val="auto"/>
              </w:rPr>
            </w:pPr>
          </w:p>
        </w:tc>
        <w:tc>
          <w:tcPr>
            <w:tcW w:w="22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DDDDDD"/>
            </w:tcBorders>
          </w:tcPr>
          <w:p>
            <w:pPr>
              <w:ind w:left="600"/>
              <w:spacing w:after="0"/>
              <w:rPr>
                <w:sz w:val="20"/>
                <w:szCs w:val="20"/>
                <w:color w:val="auto"/>
              </w:rPr>
            </w:pPr>
            <w:r>
              <w:rPr>
                <w:rFonts w:ascii="Times New Roman" w:cs="Times New Roman" w:eastAsia="Times New Roman" w:hAnsi="Times New Roman"/>
                <w:sz w:val="18"/>
                <w:szCs w:val="18"/>
                <w:color w:val="auto"/>
              </w:rPr>
              <w:t>Stephanie N. Gary</w:t>
            </w:r>
            <w:r>
              <w:rPr>
                <w:rFonts w:ascii="Times New Roman" w:cs="Times New Roman" w:eastAsia="Times New Roman" w:hAnsi="Times New Roman"/>
                <w:sz w:val="23"/>
                <w:szCs w:val="23"/>
                <w:color w:val="auto"/>
                <w:vertAlign w:val="superscript"/>
              </w:rPr>
              <w:t>(7)</w:t>
            </w:r>
          </w:p>
        </w:tc>
        <w:tc>
          <w:tcPr>
            <w:tcW w:w="3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DDDDDD"/>
            </w:tcBorders>
          </w:tcPr>
          <w:p>
            <w:pPr>
              <w:jc w:val="right"/>
              <w:ind w:right="690"/>
              <w:spacing w:after="0"/>
              <w:rPr>
                <w:sz w:val="20"/>
                <w:szCs w:val="20"/>
                <w:color w:val="auto"/>
              </w:rPr>
            </w:pPr>
            <w:r>
              <w:rPr>
                <w:rFonts w:ascii="Times New Roman" w:cs="Times New Roman" w:eastAsia="Times New Roman" w:hAnsi="Times New Roman"/>
                <w:sz w:val="18"/>
                <w:szCs w:val="18"/>
                <w:color w:val="auto"/>
              </w:rPr>
              <w:t>98,525</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DDDDDD"/>
            </w:tcBorders>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Borders>
              <w:bottom w:val="single" w:sz="8" w:color="DDDDDD"/>
            </w:tcBorders>
          </w:tcPr>
          <w:p>
            <w:pPr>
              <w:jc w:val="center"/>
              <w:spacing w:after="0"/>
              <w:rPr>
                <w:sz w:val="20"/>
                <w:szCs w:val="20"/>
                <w:color w:val="auto"/>
              </w:rPr>
            </w:pPr>
            <w:r>
              <w:rPr>
                <w:rFonts w:ascii="Times New Roman" w:cs="Times New Roman" w:eastAsia="Times New Roman" w:hAnsi="Times New Roman"/>
                <w:sz w:val="18"/>
                <w:szCs w:val="18"/>
                <w:color w:val="auto"/>
              </w:rPr>
              <w:t>$218,500</w:t>
            </w:r>
          </w:p>
        </w:tc>
        <w:tc>
          <w:tcPr>
            <w:tcW w:w="0" w:type="dxa"/>
            <w:vAlign w:val="bottom"/>
          </w:tcPr>
          <w:p>
            <w:pPr>
              <w:spacing w:after="0"/>
              <w:rPr>
                <w:sz w:val="1"/>
                <w:szCs w:val="1"/>
                <w:color w:val="auto"/>
              </w:rPr>
            </w:pPr>
          </w:p>
        </w:tc>
      </w:tr>
      <w:tr>
        <w:trPr>
          <w:trHeight w:val="237"/>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Dennis S. Hudson, III</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124,525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200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1820" w:type="dxa"/>
            <w:vAlign w:val="bottom"/>
            <w:tcBorders>
              <w:bottom w:val="single" w:sz="8" w:color="DDDDDD"/>
            </w:tcBorders>
          </w:tcPr>
          <w:p>
            <w:pPr>
              <w:spacing w:after="0"/>
              <w:rPr>
                <w:sz w:val="2"/>
                <w:szCs w:val="2"/>
                <w:color w:val="auto"/>
              </w:rPr>
            </w:pPr>
          </w:p>
        </w:tc>
        <w:tc>
          <w:tcPr>
            <w:tcW w:w="22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Lila A. Jaber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107,025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200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1820" w:type="dxa"/>
            <w:vAlign w:val="bottom"/>
            <w:tcBorders>
              <w:bottom w:val="single" w:sz="8" w:color="DDDDDD"/>
            </w:tcBorders>
          </w:tcPr>
          <w:p>
            <w:pPr>
              <w:spacing w:after="0"/>
              <w:rPr>
                <w:sz w:val="2"/>
                <w:szCs w:val="2"/>
                <w:color w:val="auto"/>
              </w:rPr>
            </w:pPr>
          </w:p>
        </w:tc>
        <w:tc>
          <w:tcPr>
            <w:tcW w:w="22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Sheree M. Petrone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107,025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119,975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200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1820" w:type="dxa"/>
            <w:vAlign w:val="bottom"/>
            <w:tcBorders>
              <w:bottom w:val="single" w:sz="8" w:color="DDDDDD"/>
            </w:tcBorders>
          </w:tcPr>
          <w:p>
            <w:pPr>
              <w:spacing w:after="0"/>
              <w:rPr>
                <w:sz w:val="2"/>
                <w:szCs w:val="2"/>
                <w:color w:val="auto"/>
              </w:rPr>
            </w:pPr>
          </w:p>
        </w:tc>
        <w:tc>
          <w:tcPr>
            <w:tcW w:w="22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left="80" w:hanging="72"/>
        <w:spacing w:after="0" w:line="226" w:lineRule="auto"/>
        <w:tabs>
          <w:tab w:leader="none" w:pos="73" w:val="left"/>
        </w:tabs>
        <w:numPr>
          <w:ilvl w:val="0"/>
          <w:numId w:val="2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Jeffry M. Householder was appointed to serve as a director and our President and Chief Executive Officer effective January 1, 2019, and as Chair of the Board effective May 3, 2023. Mr. Householder does not receive compensation for his services as a director or as Chair of the Board. Paul L. Maddock, Jr. previously received compensation in 2024 for his services as a director from May 2024 to May 2025, as further detailed in our Proxy Statement that was filed with the SEC on March 25, 2025. Non-employee director compensation is not provided for any period following a director's retirement. Mr. Maddock retired as a director effective May 7, 2025. Accordingly, Mr. Maddock did not receive any compensation in 2025 for services as a director.</w:t>
      </w:r>
    </w:p>
    <w:p>
      <w:pPr>
        <w:spacing w:after="0" w:line="13" w:lineRule="exact"/>
        <w:rPr>
          <w:sz w:val="20"/>
          <w:szCs w:val="20"/>
          <w:color w:val="auto"/>
        </w:rPr>
      </w:pPr>
    </w:p>
    <w:p>
      <w:pPr>
        <w:ind w:left="80" w:hanging="72"/>
        <w:spacing w:after="0"/>
        <w:tabs>
          <w:tab w:leader="none" w:pos="80" w:val="left"/>
        </w:tabs>
        <w:numPr>
          <w:ilvl w:val="0"/>
          <w:numId w:val="2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Fees Earned or Paid in Cash column reflects Board and Committee retainers paid in May 2025 (or in September 2025 for Ms. Eden), including fractional shares paid in cash.</w:t>
      </w:r>
    </w:p>
    <w:p>
      <w:pPr>
        <w:spacing w:after="0" w:line="48" w:lineRule="exact"/>
        <w:rPr>
          <w:sz w:val="20"/>
          <w:szCs w:val="20"/>
          <w:color w:val="auto"/>
        </w:rPr>
      </w:pPr>
    </w:p>
    <w:p>
      <w:pPr>
        <w:jc w:val="both"/>
        <w:ind w:left="80" w:hanging="72"/>
        <w:spacing w:after="0" w:line="218" w:lineRule="auto"/>
        <w:tabs>
          <w:tab w:leader="none" w:pos="73" w:val="left"/>
        </w:tabs>
        <w:numPr>
          <w:ilvl w:val="0"/>
          <w:numId w:val="2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Non-employee directors are eligible to receive equity awards under the Company's 2023 SICP. Except for Ms. Eden, the Stock Awards column reflects the grant date fair value of the award on May 7, 2025 of $119,975 (895 shares of common stock based upon a price per share of $134.05, the closing price on May 7, 2025). The stock awards and all prior stock awards are fully vested in that they are not subject to forfeiture.</w:t>
      </w:r>
    </w:p>
    <w:p>
      <w:pPr>
        <w:spacing w:after="0" w:line="40" w:lineRule="exact"/>
        <w:rPr>
          <w:sz w:val="20"/>
          <w:szCs w:val="20"/>
          <w:color w:val="auto"/>
        </w:rPr>
      </w:pPr>
    </w:p>
    <w:p>
      <w:pPr>
        <w:jc w:val="both"/>
        <w:ind w:left="80" w:hanging="72"/>
        <w:spacing w:after="0" w:line="246" w:lineRule="auto"/>
        <w:tabs>
          <w:tab w:leader="none" w:pos="73" w:val="left"/>
        </w:tabs>
        <w:numPr>
          <w:ilvl w:val="0"/>
          <w:numId w:val="2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There is no compensation to be included in the Option Awards, Non-equity Incentive Plan Compensation, or Change in Pension Value and Non-Qualified Deferred Compensation Earnings or All Other Compensation columns. Dividends on deferred stock units in the NQDC Plan (which are settled on a one-for-one basis in shares of common stock) are the same as dividends paid on the Company’s outstanding shares of common stock. Additionally, cash retainer compensation deferred under the NQDC Plan has investment crediting options that are the same as investment options available to all employees under the Company's Retirement Savings Plan. As a result, the directors participating in the NQDC Plan do not receive preferential earnings on their investments. Directors located in our service territories may purchase propane at the same discounted rate that we offer to our employees. In 2025, no director set forth in the 2025 Director Compensation table received propane at the discounted rate.</w:t>
      </w:r>
    </w:p>
    <w:p>
      <w:pPr>
        <w:spacing w:after="0" w:line="36" w:lineRule="exact"/>
        <w:rPr>
          <w:sz w:val="20"/>
          <w:szCs w:val="20"/>
          <w:color w:val="auto"/>
        </w:rPr>
      </w:pPr>
    </w:p>
    <w:p>
      <w:pPr>
        <w:ind w:left="80" w:hanging="72"/>
        <w:spacing w:after="0" w:line="222" w:lineRule="auto"/>
        <w:tabs>
          <w:tab w:leader="none" w:pos="73" w:val="left"/>
        </w:tabs>
        <w:numPr>
          <w:ilvl w:val="0"/>
          <w:numId w:val="2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Ms. Bisaccia deferred her annual stock retainer in the amount of $119,975 and Board and Committee cash retainers, including cash in lieu of fractional shares, in the amount of $124,525. All deferrals were made in accordance with the terms of the NQDC Plan.</w:t>
      </w:r>
    </w:p>
    <w:p>
      <w:pPr>
        <w:spacing w:after="0" w:line="40" w:lineRule="exact"/>
        <w:rPr>
          <w:sz w:val="20"/>
          <w:szCs w:val="20"/>
          <w:color w:val="auto"/>
        </w:rPr>
      </w:pPr>
    </w:p>
    <w:p>
      <w:pPr>
        <w:jc w:val="both"/>
        <w:ind w:left="80" w:hanging="72"/>
        <w:spacing w:after="0" w:line="226" w:lineRule="auto"/>
        <w:tabs>
          <w:tab w:leader="none" w:pos="86"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On September 12, 2025, Elisabeth A. Eden was appointed to serve as a director and a member of the Audit Committee, effective September 15, 2025. Effective with this appointment, Ms. Eden received a cash payment of $63,147 for the prorated Board and Committee retainers, including fractional shares paid in cash in the amount of $96.24, for services to be performed from September 15, 2025 through May 5, 2026. The Stock Award column reflects a grant date fair value of $76,717 (613 shares based on a price per share of $125.15, the closing price on September 12, 2025). The stock award is fully vested in that it is not subject to forfeiture.</w:t>
      </w:r>
    </w:p>
    <w:p>
      <w:pPr>
        <w:spacing w:after="0" w:line="41" w:lineRule="exact"/>
        <w:rPr>
          <w:sz w:val="20"/>
          <w:szCs w:val="20"/>
          <w:color w:val="auto"/>
        </w:rPr>
      </w:pPr>
    </w:p>
    <w:p>
      <w:pPr>
        <w:ind w:left="80" w:hanging="72"/>
        <w:spacing w:after="0" w:line="222" w:lineRule="auto"/>
        <w:tabs>
          <w:tab w:leader="none" w:pos="85" w:val="left"/>
        </w:tabs>
        <w:numPr>
          <w:ilvl w:val="0"/>
          <w:numId w:val="2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Ms. Gary received compensation in May 2025 for her service as a non-employee director and a member of the Audit Committee. Ms. Gary's service concluded on July 25, 2025, as reported on Form 8-K filed with the SEC on July 25, 2025.</w:t>
      </w:r>
    </w:p>
    <w:p>
      <w:pPr>
        <w:spacing w:after="0" w:line="183" w:lineRule="exact"/>
        <w:rPr>
          <w:sz w:val="20"/>
          <w:szCs w:val="20"/>
          <w:color w:val="auto"/>
        </w:rPr>
      </w:pPr>
    </w:p>
    <w:p>
      <w:pPr>
        <w:ind w:right="1240"/>
        <w:spacing w:after="0" w:line="326" w:lineRule="auto"/>
        <w:rPr>
          <w:sz w:val="20"/>
          <w:szCs w:val="20"/>
          <w:color w:val="auto"/>
        </w:rPr>
      </w:pPr>
      <w:r>
        <w:rPr>
          <w:rFonts w:ascii="Times New Roman" w:cs="Times New Roman" w:eastAsia="Times New Roman" w:hAnsi="Times New Roman"/>
          <w:sz w:val="36"/>
          <w:szCs w:val="36"/>
          <w:b w:val="1"/>
          <w:bCs w:val="1"/>
          <w:color w:val="00497F"/>
        </w:rPr>
        <w:t>5 - CORPORATE GOVERNANCE AND STOCK OWNERSHIP Governance Trends and 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Information. </w:t>
      </w:r>
      <w:r>
        <w:rPr>
          <w:rFonts w:ascii="Times New Roman" w:cs="Times New Roman" w:eastAsia="Times New Roman" w:hAnsi="Times New Roman"/>
          <w:sz w:val="18"/>
          <w:szCs w:val="18"/>
          <w:color w:val="auto"/>
        </w:rPr>
        <w:t>The Board and its Committees monitor legislative and regulatory initiatives, market trends, and other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initiatives. Members remain informed through a variety of resources, including internal and external publications, continuing education sessions, and external programs. The Board and its Committees also engage with external parties on a broad range of topics, some of which are provided below:</w:t>
      </w:r>
    </w:p>
    <w:p>
      <w:pPr>
        <w:spacing w:after="0" w:line="64" w:lineRule="exact"/>
        <w:rPr>
          <w:sz w:val="20"/>
          <w:szCs w:val="20"/>
          <w:color w:val="auto"/>
        </w:rPr>
      </w:pPr>
    </w:p>
    <w:p>
      <w:pPr>
        <w:ind w:left="260" w:hanging="252"/>
        <w:spacing w:after="0" w:line="27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experts on energy policy, energy trends, renewable energy, market factors and competition, growth opportunities, key customer growth expectations, and future outlook of the energy industry</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experts on corporate governance, proxy advisory services, investor relations and the securities trading market</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investors on portfolio management and the firms' views on our performance, industry dynamics, and valuation</w:t>
      </w:r>
    </w:p>
    <w:p>
      <w:pPr>
        <w:spacing w:after="0" w:line="63" w:lineRule="exact"/>
        <w:rPr>
          <w:rFonts w:ascii="Times New Roman" w:cs="Times New Roman" w:eastAsia="Times New Roman" w:hAnsi="Times New Roman"/>
          <w:sz w:val="18"/>
          <w:szCs w:val="18"/>
          <w:color w:val="auto"/>
        </w:rPr>
      </w:pPr>
    </w:p>
    <w:p>
      <w:pPr>
        <w:ind w:left="260" w:right="20" w:hanging="252"/>
        <w:spacing w:after="0" w:line="266"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financial community on the utility industry, including macroeconomic outlook, market trends and valuations, industry fundamentals, investor perception, and industry framework</w:t>
      </w: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professionals on emerging technology and controls, including artificial intelligence</w:t>
      </w:r>
    </w:p>
    <w:p>
      <w:pPr>
        <w:sectPr>
          <w:pgSz w:w="11900" w:h="16838" w:orient="portrait"/>
          <w:cols w:equalWidth="0" w:num="1">
            <w:col w:w="11240"/>
          </w:cols>
          <w:pgMar w:left="320" w:top="89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type w:val="continuous"/>
        </w:sectPr>
      </w:pPr>
    </w:p>
    <w:bookmarkStart w:id="27" w:name="page28"/>
    <w:bookmarkEnd w:id="27"/>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newly elected directors participate in a comprehensive director orientation program covering various topics including strategy, business structure, risk profile, financial performance and competitive landscape. When safety protocols permit, Board meetings are held in or around select service territories which give the directors an opportunity to see our operations first-hand, visit the communities we serve, and engage with our employees. Throughout 2025, individuals from across the organization attended several meetings of the Board and its Committees enabling the Board to remain connected with employees and to engage with emerging leaders as part of succession planning. Additionally, directors receive updates from employees on emerging trends such as artificial intelligence.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Corporate Governance Practices</w:t>
      </w:r>
    </w:p>
    <w:p>
      <w:pPr>
        <w:spacing w:after="0" w:line="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Governance Transparency and Accountability. </w:t>
      </w:r>
      <w:r>
        <w:rPr>
          <w:rFonts w:ascii="Times New Roman" w:cs="Times New Roman" w:eastAsia="Times New Roman" w:hAnsi="Times New Roman"/>
          <w:sz w:val="17"/>
          <w:szCs w:val="17"/>
          <w:color w:val="auto"/>
        </w:rPr>
        <w:t>The Board and Corporate Governance Committee annually review our corporate governance documents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and practices to ensure that they provide the appropriate framework under which we operate. Our corporate governance documents can be viewed on our website at </w:t>
      </w:r>
      <w:r>
        <w:rPr>
          <w:rFonts w:ascii="Times New Roman" w:cs="Times New Roman" w:eastAsia="Times New Roman" w:hAnsi="Times New Roman"/>
          <w:sz w:val="17"/>
          <w:szCs w:val="17"/>
          <w:u w:val="single" w:color="auto"/>
          <w:color w:val="auto"/>
        </w:rPr>
        <w:t>www.chpk.com/corporate-responsibility/corporate-governance</w:t>
      </w:r>
      <w:r>
        <w:rPr>
          <w:rFonts w:ascii="Times New Roman" w:cs="Times New Roman" w:eastAsia="Times New Roman" w:hAnsi="Times New Roman"/>
          <w:sz w:val="17"/>
          <w:szCs w:val="17"/>
          <w:color w:val="auto"/>
        </w:rPr>
        <w:t xml:space="preserve">. These documents include the Charters for each standing Board Committee – Audit Committee, Compensation Committee, Corporate Governance Committee and Investment Committee; Corporate Governance Guidelines; Business Code of Ethics and Conduct (“Code of Ethics”); Code of Ethics for Financial Officers; and Communications with the Board. Additional information in the </w:t>
      </w:r>
      <w:r>
        <w:rPr>
          <w:rFonts w:ascii="Times New Roman" w:cs="Times New Roman" w:eastAsia="Times New Roman" w:hAnsi="Times New Roman"/>
          <w:sz w:val="17"/>
          <w:szCs w:val="17"/>
          <w:i w:val="1"/>
          <w:iCs w:val="1"/>
          <w:color w:val="auto"/>
        </w:rPr>
        <w:t xml:space="preserve">Corporate Governance </w:t>
      </w:r>
      <w:r>
        <w:rPr>
          <w:rFonts w:ascii="Times New Roman" w:cs="Times New Roman" w:eastAsia="Times New Roman" w:hAnsi="Times New Roman"/>
          <w:sz w:val="17"/>
          <w:szCs w:val="17"/>
          <w:color w:val="auto"/>
        </w:rPr>
        <w:t>section of our website includes the composition of our Board and Committees and a summary of our Ethics and Compliance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Program. Under the </w:t>
      </w:r>
      <w:r>
        <w:rPr>
          <w:rFonts w:ascii="Times New Roman" w:cs="Times New Roman" w:eastAsia="Times New Roman" w:hAnsi="Times New Roman"/>
          <w:sz w:val="17"/>
          <w:szCs w:val="17"/>
          <w:i w:val="1"/>
          <w:iCs w:val="1"/>
          <w:color w:val="auto"/>
        </w:rPr>
        <w:t>Investors</w:t>
      </w:r>
      <w:r>
        <w:rPr>
          <w:rFonts w:ascii="Times New Roman" w:cs="Times New Roman" w:eastAsia="Times New Roman" w:hAnsi="Times New Roman"/>
          <w:sz w:val="17"/>
          <w:szCs w:val="17"/>
          <w:color w:val="auto"/>
        </w:rPr>
        <w:t xml:space="preserve"> section of our website, </w:t>
      </w:r>
      <w:r>
        <w:rPr>
          <w:rFonts w:ascii="Times New Roman" w:cs="Times New Roman" w:eastAsia="Times New Roman" w:hAnsi="Times New Roman"/>
          <w:sz w:val="17"/>
          <w:szCs w:val="17"/>
          <w:u w:val="single" w:color="auto"/>
          <w:color w:val="auto"/>
        </w:rPr>
        <w:t>www.chpk.com/investors</w:t>
      </w:r>
      <w:r>
        <w:rPr>
          <w:rFonts w:ascii="Times New Roman" w:cs="Times New Roman" w:eastAsia="Times New Roman" w:hAnsi="Times New Roman"/>
          <w:sz w:val="17"/>
          <w:szCs w:val="17"/>
          <w:color w:val="auto"/>
        </w:rPr>
        <w:t xml:space="preserve">, we provide links to our filings with the SEC, including our Annual Report on Form 10-K, Quarterly Reports on Form 10-Q, and equity ownership reports for our executive officers. The filings are located at </w:t>
      </w:r>
      <w:r>
        <w:rPr>
          <w:rFonts w:ascii="Times New Roman" w:cs="Times New Roman" w:eastAsia="Times New Roman" w:hAnsi="Times New Roman"/>
          <w:sz w:val="17"/>
          <w:szCs w:val="17"/>
          <w:u w:val="single" w:color="auto"/>
          <w:color w:val="auto"/>
        </w:rPr>
        <w:t>www.chpk.com/investors/filings-publications/sec-filings</w:t>
      </w:r>
      <w:r>
        <w:rPr>
          <w:rFonts w:ascii="Times New Roman" w:cs="Times New Roman" w:eastAsia="Times New Roman" w:hAnsi="Times New Roman"/>
          <w:sz w:val="17"/>
          <w:szCs w:val="17"/>
          <w:color w:val="auto"/>
        </w:rPr>
        <w:t xml:space="preserve">. Under the </w:t>
      </w:r>
      <w:r>
        <w:rPr>
          <w:rFonts w:ascii="Times New Roman" w:cs="Times New Roman" w:eastAsia="Times New Roman" w:hAnsi="Times New Roman"/>
          <w:sz w:val="17"/>
          <w:szCs w:val="17"/>
          <w:i w:val="1"/>
          <w:iCs w:val="1"/>
          <w:color w:val="auto"/>
        </w:rPr>
        <w:t>Newsroom</w:t>
      </w:r>
      <w:r>
        <w:rPr>
          <w:rFonts w:ascii="Times New Roman" w:cs="Times New Roman" w:eastAsia="Times New Roman" w:hAnsi="Times New Roman"/>
          <w:sz w:val="17"/>
          <w:szCs w:val="17"/>
          <w:color w:val="auto"/>
        </w:rPr>
        <w:t xml:space="preserve"> section of our website, </w:t>
      </w:r>
      <w:r>
        <w:rPr>
          <w:rFonts w:ascii="Times New Roman" w:cs="Times New Roman" w:eastAsia="Times New Roman" w:hAnsi="Times New Roman"/>
          <w:sz w:val="17"/>
          <w:szCs w:val="17"/>
          <w:u w:val="single" w:color="auto"/>
          <w:color w:val="auto"/>
        </w:rPr>
        <w:t>www.chpk.com/newsroom</w:t>
      </w:r>
      <w:r>
        <w:rPr>
          <w:rFonts w:ascii="Times New Roman" w:cs="Times New Roman" w:eastAsia="Times New Roman" w:hAnsi="Times New Roman"/>
          <w:sz w:val="17"/>
          <w:szCs w:val="17"/>
          <w:color w:val="auto"/>
        </w:rPr>
        <w:t xml:space="preserve">, we provide press releases on financial, corporate and community activities. The Company's Annual Report can be viewed on our website at </w:t>
      </w:r>
      <w:r>
        <w:rPr>
          <w:rFonts w:ascii="Times New Roman" w:cs="Times New Roman" w:eastAsia="Times New Roman" w:hAnsi="Times New Roman"/>
          <w:sz w:val="17"/>
          <w:szCs w:val="17"/>
          <w:u w:val="single" w:color="auto"/>
          <w:color w:val="auto"/>
        </w:rPr>
        <w:t>www.chpk.com/investors/filings-publications/annual-reports</w:t>
      </w:r>
      <w:r>
        <w:rPr>
          <w:rFonts w:ascii="Times New Roman" w:cs="Times New Roman" w:eastAsia="Times New Roman" w:hAnsi="Times New Roman"/>
          <w:sz w:val="17"/>
          <w:szCs w:val="17"/>
          <w:color w:val="auto"/>
        </w:rPr>
        <w:t xml:space="preserve"> and provides additional information on our Company and its energy delivery services. Additional information on the Company and its businesses, our employees, safety values, and career opportunities can be viewed on our website at </w:t>
      </w:r>
      <w:r>
        <w:rPr>
          <w:rFonts w:ascii="Times New Roman" w:cs="Times New Roman" w:eastAsia="Times New Roman" w:hAnsi="Times New Roman"/>
          <w:sz w:val="17"/>
          <w:szCs w:val="17"/>
          <w:u w:val="single" w:color="auto"/>
          <w:color w:val="auto"/>
        </w:rPr>
        <w:t>www.chpk.com</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Responsibility and Sustainability Reporting. </w:t>
      </w:r>
      <w:r>
        <w:rPr>
          <w:rFonts w:ascii="Times New Roman" w:cs="Times New Roman" w:eastAsia="Times New Roman" w:hAnsi="Times New Roman"/>
          <w:sz w:val="18"/>
          <w:szCs w:val="18"/>
          <w:color w:val="auto"/>
        </w:rPr>
        <w:t>Corporate responsibility and sustainability is at the core of our well-established culture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informed business decisions. Over the years, we have reduced our greenhouse gas emissions, while responsibly growing our businesses. We have also helped to accelerate the reduction of emissions by many of our customers. We believe our long-standing stewardship has enhanced the sustainability of our local communities. The Company has released several micro-reports on initiatives related to environmental stewardship, safety and reliability, and our employees, customers and communities, building on our corporate responsibility and sustainability reporting from prior years. All of the Company's corporate responsibility and sustainability reports, including micro-reports, are available on our website at </w:t>
      </w:r>
      <w:r>
        <w:rPr>
          <w:rFonts w:ascii="Times New Roman" w:cs="Times New Roman" w:eastAsia="Times New Roman" w:hAnsi="Times New Roman"/>
          <w:sz w:val="18"/>
          <w:szCs w:val="18"/>
          <w:u w:val="single" w:color="auto"/>
          <w:color w:val="auto"/>
        </w:rPr>
        <w:t>www.chpk.com/corporate-responsibility/sustainability-reporting</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Guidelines. </w:t>
      </w:r>
      <w:r>
        <w:rPr>
          <w:rFonts w:ascii="Times New Roman" w:cs="Times New Roman" w:eastAsia="Times New Roman" w:hAnsi="Times New Roman"/>
          <w:sz w:val="18"/>
          <w:szCs w:val="18"/>
          <w:color w:val="auto"/>
        </w:rPr>
        <w:t>The Board adopted Corporate Governance Guidelines which consist of a series of policies and principles that provide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framework for the corporate governance of the Company. The Corporate Governance Guidelines focus on Board composition and director qualifications, Board refreshment, Board independence, Board meetings, Board committees, Board access to management and advisors, the Board's relationship with senior management, director compensation, and the annual review of Board and Committee effectiveness. In 2025, the Board, upon recommendation of the Corporate Governance Committee, adopted changes to the Corporate Governance Guidelines that align with our current and best-in-class governance practices.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w:t>
      </w:r>
      <w:r>
        <w:rPr>
          <w:rFonts w:ascii="Times New Roman" w:cs="Times New Roman" w:eastAsia="Times New Roman" w:hAnsi="Times New Roman"/>
          <w:sz w:val="18"/>
          <w:szCs w:val="18"/>
          <w:color w:val="auto"/>
        </w:rPr>
        <w:t>The Board adopted a Code of Ethics that reflects our commitment to continuously promote professional conduct and ethical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practices throughout the organization. In 2025, the Board, upon recommendation of the Corporate Governance Committee, adopted technical changes to the Code of Ethics. Subsequently, a video was sent to directors and employees throughout the Company which highlights our commitment to the highest ethical standards and the importance of engaging in sustainable ethical practices. Directors are required to disclose any conflict of interest to the Company's Chair of the Board and to refrain from voting on any matter(s) in which they have a conflict. In considering whether an actual conflict of interest exists, factors to be considered include, but are not limited to, the benefit to the Company and the aggregate value of the transaction. Directors and employees companywide annually confirm compliance with the Code of Ethics.</w:t>
      </w:r>
    </w:p>
    <w:p>
      <w:pPr>
        <w:spacing w:after="0" w:line="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also adopted a Code of Ethics for Financial Officers that provides a framework for honest and ethical conduct by our financial officers as they perform their financial management responsibilities. The Code of Ethics for Financial Officers is applicable to the Chief Executive Officer, President, Chief Financial Officer, Chief Accounting Officer, Treasurer, Assistant Treasurer, Corporate Controller, Vice President of Financial Transformation, and others who are responsible for ensuring accurate and timely disclosures of financial information within our filings with the SEC. Other senior managers with accounting and financial reporting oversight must annually confirm compliance with the Code of Ethics for Financial Officers.</w:t>
      </w:r>
    </w:p>
    <w:p>
      <w:pPr>
        <w:spacing w:after="0" w:line="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Persons Transactions. </w:t>
      </w:r>
      <w:r>
        <w:rPr>
          <w:rFonts w:ascii="Times New Roman" w:cs="Times New Roman" w:eastAsia="Times New Roman" w:hAnsi="Times New Roman"/>
          <w:sz w:val="18"/>
          <w:szCs w:val="18"/>
          <w:color w:val="auto"/>
        </w:rPr>
        <w:t>We review transactions in which the Company, or any of its subsidiaries, and our executive officers, directors,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nominees, 5% or greater stockholders or their immediate family members are or will be participants, to determine whether such related persons have a direct or indirect material interest in any such transaction. A related person transaction could include, but is not limited to, financial transactions, arrangements or relationships, including indebtedness or guarantees of indebtedness, and any series of similar transactions, arrangements or relationships. In determining whether to approve or ratify a</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8" w:name="page29"/>
    <w:bookmarkEnd w:id="28"/>
    <w:p>
      <w:pPr>
        <w:jc w:val="both"/>
        <w:spacing w:after="0" w:line="263" w:lineRule="auto"/>
        <w:rPr>
          <w:sz w:val="20"/>
          <w:szCs w:val="20"/>
          <w:color w:val="auto"/>
        </w:rPr>
      </w:pPr>
      <w:r>
        <w:rPr>
          <w:rFonts w:ascii="Times New Roman" w:cs="Times New Roman" w:eastAsia="Times New Roman" w:hAnsi="Times New Roman"/>
          <w:sz w:val="18"/>
          <w:szCs w:val="18"/>
          <w:color w:val="auto"/>
        </w:rPr>
        <w:t>related person transaction, the disinterested members of the Audit Committee, as part of an annual review or as required, will consider the relationship of the individual to the Company, the materiality of the transaction to the Company and the individual, and the business purpose and reasonableness of the transaction. The Audit Committee may approve or disapprove the transaction and direct the officers of the Company to take appropriate action. The Audit Committee may also refer the matter to the full Board with a recommendation. If the Audit Committee or the Board determines that a related person had or will have a direct or indirect material interest in a Company transaction or currently proposed transaction meeting the threshold set forth in Item 404(a) of Regulation S-K, the transaction will be disclosed in our proxy statement.</w:t>
      </w:r>
    </w:p>
    <w:p>
      <w:pPr>
        <w:spacing w:after="0" w:line="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established procedures in order to identify material transactions and determine, based on the relevant facts and circumstances, whether the Company or a related person has a direct or indirect material interest in the transaction. This includes discussions with the Board, as well as dissemination of a questionnaire that directors and executive officers are required to complete annually, with updates throughout the year. Director nominees, including those nominated by stockholders, are also required to complete a questionnaire in a form similar to that completed annually by directors and executive officers.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Code of Ethics requires that individuals provide prompt and full disclosure of all potential conflicts of interest (including related person transactions) to the appropriate person. These conflicts of interest may be specific to the individual or may extend to the individual's family members. Any officer who has a conflict of interest with respect to any matter is required to disclose the matter to the Chief Executive Officer, or if the Chief Executive Officer has a conflict of interest, the Chief Executive Officer would disclose the matter to the Audit Committee. All other employees are required to disclose any conflict of interest to our internal audit team. Directors are required to disclose any conflict of interest to the Chair of the Board and to refrain from voting on any matter(s) in which they have a conflict. In addition, directors, executive officers and designated employees must disclose to the Company, in an annual ethics questionnaire, any current or proposed conflict of interest (including related person transactions).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employees and executive officers are encouraged to avoid relationships that have the potential for creating an actual conflict of interest or a perception of a conflict of interest. The Code of Ethics provides specific examples that could represent a conflict of interest, including, but not limited to, the receipt of any payment, services, loan, guarantee or any other personal benefits from a third-party in anticipation of or as a result of any transaction or business relationship between the Company and the third-party. No employee or executive officer is permitted to participate in any matter in which he or she has a conflict of interest unless authorized by an appropriate Company official and under circumstances that are designed to protect the interests of the Company and its stockholders and to avoid any appearance of impropriety.</w:t>
      </w:r>
    </w:p>
    <w:p>
      <w:pPr>
        <w:spacing w:after="0" w:line="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period beginning January 1, 2025 and ending March 9, 2026, there were no transactions, or currently proposed transactions, in which the Company was or is to be a participant and the amount involved exceeds $120,000, and in which any related person had or will have a direct or indirect material interest.</w:t>
      </w:r>
    </w:p>
    <w:p>
      <w:pPr>
        <w:spacing w:after="0" w:line="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Anti-Hedging Policy and Pledging of Securities. </w:t>
      </w:r>
      <w:r>
        <w:rPr>
          <w:rFonts w:ascii="Times New Roman" w:cs="Times New Roman" w:eastAsia="Times New Roman" w:hAnsi="Times New Roman"/>
          <w:sz w:val="18"/>
          <w:szCs w:val="18"/>
          <w:color w:val="auto"/>
        </w:rPr>
        <w:t>Directors, executive officers and employees of the Company may not engage in hedging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Company's securities. Directors, executive officers, and employees and their "related persons" (as defined in our Securities Trades by Company Personnel and Related Persons Policy Statement) may not pledge the Company's stock as collateral for a loan or hold the Company's stock in a margin account.</w:t>
      </w:r>
    </w:p>
    <w:p>
      <w:pPr>
        <w:spacing w:after="0" w:line="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Sessions. </w:t>
      </w:r>
      <w:r>
        <w:rPr>
          <w:rFonts w:ascii="Times New Roman" w:cs="Times New Roman" w:eastAsia="Times New Roman" w:hAnsi="Times New Roman"/>
          <w:sz w:val="18"/>
          <w:szCs w:val="18"/>
          <w:color w:val="auto"/>
        </w:rPr>
        <w:t>The Chair of the Board presides over executive sessions of the non-management directors. The Company's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ensure the integrity of these meetings by providing that, if the Chair of the Board does not qualify as an independent director under the NYSE Listing Standards, the independent Lead Director will preside over these meetings if one is so appointed and, in the absence of an independent Lead Director, the Chair of the Corporate Governance Committee shall preside. The Corporate Governance Guidelines also provide that if the non-management directors include any director who did not qualify as independent under the NYSE Listing Standards, the independent directors would meet at least annually without the non-independent director(s).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Ownership of Our Stock</w:t>
      </w:r>
    </w:p>
    <w:p>
      <w:pPr>
        <w:spacing w:after="0"/>
        <w:rPr>
          <w:sz w:val="20"/>
          <w:szCs w:val="20"/>
          <w:color w:val="auto"/>
        </w:rPr>
      </w:pPr>
      <w:r>
        <w:rPr>
          <w:rFonts w:ascii="Times New Roman" w:cs="Times New Roman" w:eastAsia="Times New Roman" w:hAnsi="Times New Roman"/>
          <w:sz w:val="29"/>
          <w:szCs w:val="29"/>
          <w:b w:val="1"/>
          <w:bCs w:val="1"/>
          <w:color w:val="006EBF"/>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provides the number of shares of our common stock beneficially owned as of March 9, 2026 by each director and director nominee, by each NEO in the Summary Compensation Table, as well as the number of shares beneficially owned by all of the directors, director nominees and executive officers as a group as of March 9, 2026. No shares of our common stock have been pledged as security by a director or a NEO. The Company's Securities Trades by Company Personnel and Related Persons Policy Statement governs trading in the Company's stock by directors, officers, and employees and is filed as Exhibit 19 of our Annual Report on Form 10-K for the period ended December 31, 2025. The table also provides information for each other person known to us to beneficially own 5% or more of our common stock as of December 31, 2025. Pursuant to SEC rules, "beneficial ownership" for purposes of this table takes into account shares as to which the individual has or shares voting and/or investment power as well as shares that may be acquired within 60 days and is different from beneficial ownership for purposes of Section 16 of the Exchange Act, which may result in a number that is different than the beneficial ownership number reported in forms filed pursuant to Section 16.</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 of Beneficial Owner</w:t>
            </w:r>
          </w:p>
        </w:tc>
        <w:tc>
          <w:tcPr>
            <w:tcW w:w="3060" w:type="dxa"/>
            <w:vAlign w:val="bottom"/>
            <w:tcBorders>
              <w:bottom w:val="single" w:sz="8" w:color="DDDDDD"/>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Total Shares Owned Beneficially</w:t>
            </w:r>
            <w:r>
              <w:rPr>
                <w:rFonts w:ascii="Times New Roman" w:cs="Times New Roman" w:eastAsia="Times New Roman" w:hAnsi="Times New Roman"/>
                <w:sz w:val="19"/>
                <w:szCs w:val="19"/>
                <w:color w:val="auto"/>
                <w:vertAlign w:val="superscript"/>
              </w:rPr>
              <w:t>(1)</w:t>
            </w:r>
          </w:p>
        </w:tc>
        <w:tc>
          <w:tcPr>
            <w:tcW w:w="2960" w:type="dxa"/>
            <w:vAlign w:val="bottom"/>
            <w:tcBorders>
              <w:bottom w:val="single" w:sz="8" w:color="DDDDDD"/>
            </w:tcBorders>
          </w:tcPr>
          <w:p>
            <w:pPr>
              <w:ind w:left="540"/>
              <w:spacing w:after="0"/>
              <w:rPr>
                <w:sz w:val="20"/>
                <w:szCs w:val="20"/>
                <w:color w:val="auto"/>
              </w:rPr>
            </w:pPr>
            <w:r>
              <w:rPr>
                <w:rFonts w:ascii="Times New Roman" w:cs="Times New Roman" w:eastAsia="Times New Roman" w:hAnsi="Times New Roman"/>
                <w:sz w:val="15"/>
                <w:szCs w:val="15"/>
                <w:b w:val="1"/>
                <w:bCs w:val="1"/>
                <w:color w:val="auto"/>
              </w:rPr>
              <w:t>% of Class (</w:t>
            </w:r>
            <w:r>
              <w:rPr>
                <w:rFonts w:ascii="Times New Roman" w:cs="Times New Roman" w:eastAsia="Times New Roman" w:hAnsi="Times New Roman"/>
                <w:sz w:val="15"/>
                <w:szCs w:val="15"/>
                <w:i w:val="1"/>
                <w:iCs w:val="1"/>
                <w:color w:val="auto"/>
              </w:rPr>
              <w:t>* Less than 1%)</w:t>
            </w: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G. Bisaccia</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3,802</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Bresnan</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28,613</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109,313</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Elisabeth A. Eden</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619</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20" w:type="dxa"/>
            <w:vAlign w:val="bottom"/>
            <w:tcBorders>
              <w:bottom w:val="single" w:sz="8" w:color="DDDDDD"/>
            </w:tcBorders>
          </w:tcPr>
          <w:p>
            <w:pPr>
              <w:spacing w:after="0"/>
              <w:rPr>
                <w:sz w:val="2"/>
                <w:szCs w:val="2"/>
                <w:color w:val="auto"/>
              </w:rPr>
            </w:pPr>
          </w:p>
        </w:tc>
        <w:tc>
          <w:tcPr>
            <w:tcW w:w="3060" w:type="dxa"/>
            <w:vAlign w:val="bottom"/>
            <w:tcBorders>
              <w:bottom w:val="single" w:sz="8" w:color="DDDDDD"/>
            </w:tcBorders>
          </w:tcPr>
          <w:p>
            <w:pPr>
              <w:spacing w:after="0"/>
              <w:rPr>
                <w:sz w:val="2"/>
                <w:szCs w:val="2"/>
                <w:color w:val="auto"/>
              </w:rPr>
            </w:pPr>
          </w:p>
        </w:tc>
        <w:tc>
          <w:tcPr>
            <w:tcW w:w="296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G. Forsythe, Jr.</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10,109</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73,237</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S. Hudson, III</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18,475</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Lila A. Jaber</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5,905</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37,978</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Sheree M. Petrone</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3,321</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15,758</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15,105</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 and Directors as a Group</w:t>
            </w:r>
          </w:p>
        </w:tc>
        <w:tc>
          <w:tcPr>
            <w:tcW w:w="30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326,858</w:t>
            </w:r>
          </w:p>
        </w:tc>
        <w:tc>
          <w:tcPr>
            <w:tcW w:w="2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8"/>
              </w:rPr>
              <w:t>1.36%</w:t>
            </w:r>
          </w:p>
        </w:tc>
        <w:tc>
          <w:tcPr>
            <w:tcW w:w="0" w:type="dxa"/>
            <w:vAlign w:val="bottom"/>
          </w:tcPr>
          <w:p>
            <w:pPr>
              <w:spacing w:after="0"/>
              <w:rPr>
                <w:sz w:val="1"/>
                <w:szCs w:val="1"/>
                <w:color w:val="auto"/>
              </w:rPr>
            </w:pPr>
          </w:p>
        </w:tc>
      </w:tr>
      <w:tr>
        <w:trPr>
          <w:trHeight w:val="202"/>
        </w:trPr>
        <w:tc>
          <w:tcPr>
            <w:tcW w:w="3720" w:type="dxa"/>
            <w:vAlign w:val="bottom"/>
            <w:tcBorders>
              <w:bottom w:val="single" w:sz="8" w:color="DDDDDD"/>
            </w:tcBorders>
          </w:tcPr>
          <w:p>
            <w:pPr>
              <w:spacing w:after="0"/>
              <w:rPr>
                <w:sz w:val="17"/>
                <w:szCs w:val="17"/>
                <w:color w:val="auto"/>
              </w:rPr>
            </w:pPr>
          </w:p>
        </w:tc>
        <w:tc>
          <w:tcPr>
            <w:tcW w:w="3060" w:type="dxa"/>
            <w:vAlign w:val="bottom"/>
            <w:tcBorders>
              <w:bottom w:val="single" w:sz="8" w:color="DDDDDD"/>
            </w:tcBorders>
          </w:tcPr>
          <w:p>
            <w:pPr>
              <w:spacing w:after="0"/>
              <w:rPr>
                <w:sz w:val="17"/>
                <w:szCs w:val="17"/>
                <w:color w:val="auto"/>
              </w:rPr>
            </w:pPr>
          </w:p>
        </w:tc>
        <w:tc>
          <w:tcPr>
            <w:tcW w:w="29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Name of Investment Advisor</w:t>
            </w:r>
          </w:p>
        </w:tc>
        <w:tc>
          <w:tcPr>
            <w:tcW w:w="3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720" w:type="dxa"/>
            <w:vAlign w:val="bottom"/>
            <w:tcBorders>
              <w:bottom w:val="single" w:sz="8" w:color="DBDBDB"/>
            </w:tcBorders>
          </w:tcPr>
          <w:p>
            <w:pPr>
              <w:spacing w:after="0"/>
              <w:rPr>
                <w:sz w:val="3"/>
                <w:szCs w:val="3"/>
                <w:color w:val="auto"/>
              </w:rPr>
            </w:pPr>
          </w:p>
        </w:tc>
        <w:tc>
          <w:tcPr>
            <w:tcW w:w="3060" w:type="dxa"/>
            <w:vAlign w:val="bottom"/>
            <w:tcBorders>
              <w:bottom w:val="single" w:sz="8" w:color="DBDBDB"/>
            </w:tcBorders>
          </w:tcPr>
          <w:p>
            <w:pPr>
              <w:spacing w:after="0"/>
              <w:rPr>
                <w:sz w:val="3"/>
                <w:szCs w:val="3"/>
                <w:color w:val="auto"/>
              </w:rPr>
            </w:pPr>
          </w:p>
        </w:tc>
        <w:tc>
          <w:tcPr>
            <w:tcW w:w="296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60"/>
              <w:spacing w:after="0" w:line="173"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0"/>
                <w:szCs w:val="20"/>
                <w:color w:val="auto"/>
                <w:vertAlign w:val="superscript"/>
              </w:rPr>
              <w:t>(2)</w:t>
            </w:r>
          </w:p>
        </w:tc>
        <w:tc>
          <w:tcPr>
            <w:tcW w:w="30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3,584,083</w:t>
            </w:r>
          </w:p>
        </w:tc>
        <w:tc>
          <w:tcPr>
            <w:tcW w:w="29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7"/>
              </w:rPr>
              <w:t>16.10%</w:t>
            </w:r>
          </w:p>
        </w:tc>
        <w:tc>
          <w:tcPr>
            <w:tcW w:w="0" w:type="dxa"/>
            <w:vAlign w:val="bottom"/>
          </w:tcPr>
          <w:p>
            <w:pPr>
              <w:spacing w:after="0"/>
              <w:rPr>
                <w:sz w:val="1"/>
                <w:szCs w:val="1"/>
                <w:color w:val="auto"/>
              </w:rPr>
            </w:pPr>
          </w:p>
        </w:tc>
      </w:tr>
      <w:tr>
        <w:trPr>
          <w:trHeight w:val="158"/>
        </w:trPr>
        <w:tc>
          <w:tcPr>
            <w:tcW w:w="372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828282"/>
              </w:rPr>
              <w:t>50 Hudson Yards</w:t>
            </w:r>
          </w:p>
        </w:tc>
        <w:tc>
          <w:tcPr>
            <w:tcW w:w="306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60"/>
              <w:spacing w:after="0"/>
              <w:rPr>
                <w:sz w:val="20"/>
                <w:szCs w:val="20"/>
                <w:color w:val="auto"/>
              </w:rPr>
            </w:pPr>
            <w:r>
              <w:rPr>
                <w:rFonts w:ascii="Times New Roman" w:cs="Times New Roman" w:eastAsia="Times New Roman" w:hAnsi="Times New Roman"/>
                <w:sz w:val="14"/>
                <w:szCs w:val="14"/>
                <w:color w:val="828282"/>
              </w:rPr>
              <w:t>New York, NY 10001</w:t>
            </w:r>
          </w:p>
        </w:tc>
        <w:tc>
          <w:tcPr>
            <w:tcW w:w="3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720" w:type="dxa"/>
            <w:vAlign w:val="bottom"/>
            <w:tcBorders>
              <w:bottom w:val="single" w:sz="8" w:color="DBDBDB"/>
            </w:tcBorders>
          </w:tcPr>
          <w:p>
            <w:pPr>
              <w:spacing w:after="0"/>
              <w:rPr>
                <w:sz w:val="4"/>
                <w:szCs w:val="4"/>
                <w:color w:val="auto"/>
              </w:rPr>
            </w:pPr>
          </w:p>
        </w:tc>
        <w:tc>
          <w:tcPr>
            <w:tcW w:w="3060" w:type="dxa"/>
            <w:vAlign w:val="bottom"/>
            <w:tcBorders>
              <w:bottom w:val="single" w:sz="8" w:color="DBDBDB"/>
            </w:tcBorders>
          </w:tcPr>
          <w:p>
            <w:pPr>
              <w:spacing w:after="0"/>
              <w:rPr>
                <w:sz w:val="4"/>
                <w:szCs w:val="4"/>
                <w:color w:val="auto"/>
              </w:rPr>
            </w:pPr>
          </w:p>
        </w:tc>
        <w:tc>
          <w:tcPr>
            <w:tcW w:w="2960" w:type="dxa"/>
            <w:vAlign w:val="bottom"/>
            <w:tcBorders>
              <w:bottom w:val="single" w:sz="8" w:color="DBDBDB"/>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60"/>
              <w:spacing w:after="0" w:line="173" w:lineRule="exact"/>
              <w:rPr>
                <w:sz w:val="20"/>
                <w:szCs w:val="20"/>
                <w:color w:val="auto"/>
              </w:rPr>
            </w:pPr>
            <w:r>
              <w:rPr>
                <w:rFonts w:ascii="Times New Roman" w:cs="Times New Roman" w:eastAsia="Times New Roman" w:hAnsi="Times New Roman"/>
                <w:sz w:val="16"/>
                <w:szCs w:val="16"/>
                <w:color w:val="auto"/>
              </w:rPr>
              <w:t>T. Rowe Price Investment Management, Inc.</w:t>
            </w:r>
            <w:r>
              <w:rPr>
                <w:rFonts w:ascii="Times New Roman" w:cs="Times New Roman" w:eastAsia="Times New Roman" w:hAnsi="Times New Roman"/>
                <w:sz w:val="20"/>
                <w:szCs w:val="20"/>
                <w:color w:val="auto"/>
                <w:vertAlign w:val="superscript"/>
              </w:rPr>
              <w:t>(3)</w:t>
            </w:r>
          </w:p>
        </w:tc>
        <w:tc>
          <w:tcPr>
            <w:tcW w:w="30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2,304,833</w:t>
            </w:r>
          </w:p>
        </w:tc>
        <w:tc>
          <w:tcPr>
            <w:tcW w:w="29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9.70%</w:t>
            </w:r>
          </w:p>
        </w:tc>
        <w:tc>
          <w:tcPr>
            <w:tcW w:w="0" w:type="dxa"/>
            <w:vAlign w:val="bottom"/>
          </w:tcPr>
          <w:p>
            <w:pPr>
              <w:spacing w:after="0"/>
              <w:rPr>
                <w:sz w:val="1"/>
                <w:szCs w:val="1"/>
                <w:color w:val="auto"/>
              </w:rPr>
            </w:pPr>
          </w:p>
        </w:tc>
      </w:tr>
      <w:tr>
        <w:trPr>
          <w:trHeight w:val="158"/>
        </w:trPr>
        <w:tc>
          <w:tcPr>
            <w:tcW w:w="372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828282"/>
              </w:rPr>
              <w:t>1307 Point Street</w:t>
            </w:r>
          </w:p>
        </w:tc>
        <w:tc>
          <w:tcPr>
            <w:tcW w:w="306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60"/>
              <w:spacing w:after="0"/>
              <w:rPr>
                <w:sz w:val="20"/>
                <w:szCs w:val="20"/>
                <w:color w:val="auto"/>
              </w:rPr>
            </w:pPr>
            <w:r>
              <w:rPr>
                <w:rFonts w:ascii="Times New Roman" w:cs="Times New Roman" w:eastAsia="Times New Roman" w:hAnsi="Times New Roman"/>
                <w:sz w:val="14"/>
                <w:szCs w:val="14"/>
                <w:color w:val="828282"/>
              </w:rPr>
              <w:t>Baltimore, MD 21231</w:t>
            </w:r>
          </w:p>
        </w:tc>
        <w:tc>
          <w:tcPr>
            <w:tcW w:w="3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720" w:type="dxa"/>
            <w:vAlign w:val="bottom"/>
            <w:tcBorders>
              <w:bottom w:val="single" w:sz="8" w:color="DBDBDB"/>
            </w:tcBorders>
          </w:tcPr>
          <w:p>
            <w:pPr>
              <w:spacing w:after="0"/>
              <w:rPr>
                <w:sz w:val="4"/>
                <w:szCs w:val="4"/>
                <w:color w:val="auto"/>
              </w:rPr>
            </w:pPr>
          </w:p>
        </w:tc>
        <w:tc>
          <w:tcPr>
            <w:tcW w:w="3060" w:type="dxa"/>
            <w:vAlign w:val="bottom"/>
            <w:tcBorders>
              <w:bottom w:val="single" w:sz="8" w:color="DBDBDB"/>
            </w:tcBorders>
          </w:tcPr>
          <w:p>
            <w:pPr>
              <w:spacing w:after="0"/>
              <w:rPr>
                <w:sz w:val="4"/>
                <w:szCs w:val="4"/>
                <w:color w:val="auto"/>
              </w:rPr>
            </w:pPr>
          </w:p>
        </w:tc>
        <w:tc>
          <w:tcPr>
            <w:tcW w:w="2960" w:type="dxa"/>
            <w:vAlign w:val="bottom"/>
            <w:tcBorders>
              <w:bottom w:val="single" w:sz="8" w:color="DBDBDB"/>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60"/>
              <w:spacing w:after="0" w:line="173" w:lineRule="exact"/>
              <w:rPr>
                <w:sz w:val="20"/>
                <w:szCs w:val="20"/>
                <w:color w:val="auto"/>
              </w:rPr>
            </w:pPr>
            <w:r>
              <w:rPr>
                <w:rFonts w:ascii="Times New Roman" w:cs="Times New Roman" w:eastAsia="Times New Roman" w:hAnsi="Times New Roman"/>
                <w:sz w:val="16"/>
                <w:szCs w:val="16"/>
                <w:color w:val="auto"/>
              </w:rPr>
              <w:t>The Vanguard Group</w:t>
            </w:r>
            <w:r>
              <w:rPr>
                <w:rFonts w:ascii="Times New Roman" w:cs="Times New Roman" w:eastAsia="Times New Roman" w:hAnsi="Times New Roman"/>
                <w:sz w:val="20"/>
                <w:szCs w:val="20"/>
                <w:color w:val="auto"/>
                <w:vertAlign w:val="superscript"/>
              </w:rPr>
              <w:t>(4)</w:t>
            </w:r>
          </w:p>
        </w:tc>
        <w:tc>
          <w:tcPr>
            <w:tcW w:w="30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1,740,123</w:t>
            </w:r>
          </w:p>
        </w:tc>
        <w:tc>
          <w:tcPr>
            <w:tcW w:w="29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8.04%</w:t>
            </w:r>
          </w:p>
        </w:tc>
        <w:tc>
          <w:tcPr>
            <w:tcW w:w="0" w:type="dxa"/>
            <w:vAlign w:val="bottom"/>
          </w:tcPr>
          <w:p>
            <w:pPr>
              <w:spacing w:after="0"/>
              <w:rPr>
                <w:sz w:val="1"/>
                <w:szCs w:val="1"/>
                <w:color w:val="auto"/>
              </w:rPr>
            </w:pPr>
          </w:p>
        </w:tc>
      </w:tr>
      <w:tr>
        <w:trPr>
          <w:trHeight w:val="158"/>
        </w:trPr>
        <w:tc>
          <w:tcPr>
            <w:tcW w:w="372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828282"/>
              </w:rPr>
              <w:t>100 Vanguard Blvd.</w:t>
            </w:r>
          </w:p>
        </w:tc>
        <w:tc>
          <w:tcPr>
            <w:tcW w:w="306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60"/>
              <w:spacing w:after="0"/>
              <w:rPr>
                <w:sz w:val="20"/>
                <w:szCs w:val="20"/>
                <w:color w:val="auto"/>
              </w:rPr>
            </w:pPr>
            <w:r>
              <w:rPr>
                <w:rFonts w:ascii="Times New Roman" w:cs="Times New Roman" w:eastAsia="Times New Roman" w:hAnsi="Times New Roman"/>
                <w:sz w:val="14"/>
                <w:szCs w:val="14"/>
                <w:color w:val="828282"/>
              </w:rPr>
              <w:t>Malvern, PA 19355</w:t>
            </w:r>
          </w:p>
        </w:tc>
        <w:tc>
          <w:tcPr>
            <w:tcW w:w="3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720" w:type="dxa"/>
            <w:vAlign w:val="bottom"/>
            <w:tcBorders>
              <w:bottom w:val="single" w:sz="8" w:color="DBDBDB"/>
            </w:tcBorders>
          </w:tcPr>
          <w:p>
            <w:pPr>
              <w:spacing w:after="0"/>
              <w:rPr>
                <w:sz w:val="4"/>
                <w:szCs w:val="4"/>
                <w:color w:val="auto"/>
              </w:rPr>
            </w:pPr>
          </w:p>
        </w:tc>
        <w:tc>
          <w:tcPr>
            <w:tcW w:w="3060" w:type="dxa"/>
            <w:vAlign w:val="bottom"/>
            <w:tcBorders>
              <w:bottom w:val="single" w:sz="8" w:color="DBDBDB"/>
            </w:tcBorders>
          </w:tcPr>
          <w:p>
            <w:pPr>
              <w:spacing w:after="0"/>
              <w:rPr>
                <w:sz w:val="4"/>
                <w:szCs w:val="4"/>
                <w:color w:val="auto"/>
              </w:rPr>
            </w:pPr>
          </w:p>
        </w:tc>
        <w:tc>
          <w:tcPr>
            <w:tcW w:w="2960" w:type="dxa"/>
            <w:vAlign w:val="bottom"/>
            <w:tcBorders>
              <w:bottom w:val="single" w:sz="8" w:color="DBDBDB"/>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60"/>
              <w:spacing w:after="0" w:line="173" w:lineRule="exact"/>
              <w:rPr>
                <w:sz w:val="20"/>
                <w:szCs w:val="20"/>
                <w:color w:val="auto"/>
              </w:rPr>
            </w:pPr>
            <w:r>
              <w:rPr>
                <w:rFonts w:ascii="Times New Roman" w:cs="Times New Roman" w:eastAsia="Times New Roman" w:hAnsi="Times New Roman"/>
                <w:sz w:val="16"/>
                <w:szCs w:val="16"/>
                <w:color w:val="auto"/>
              </w:rPr>
              <w:t>State Street Corporation</w:t>
            </w:r>
            <w:r>
              <w:rPr>
                <w:rFonts w:ascii="Times New Roman" w:cs="Times New Roman" w:eastAsia="Times New Roman" w:hAnsi="Times New Roman"/>
                <w:sz w:val="20"/>
                <w:szCs w:val="20"/>
                <w:color w:val="auto"/>
                <w:vertAlign w:val="superscript"/>
              </w:rPr>
              <w:t>(5)</w:t>
            </w:r>
          </w:p>
        </w:tc>
        <w:tc>
          <w:tcPr>
            <w:tcW w:w="30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color w:val="auto"/>
                <w:w w:val="99"/>
              </w:rPr>
              <w:t>1,222,149</w:t>
            </w:r>
          </w:p>
        </w:tc>
        <w:tc>
          <w:tcPr>
            <w:tcW w:w="29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5.40%</w:t>
            </w:r>
          </w:p>
        </w:tc>
        <w:tc>
          <w:tcPr>
            <w:tcW w:w="0" w:type="dxa"/>
            <w:vAlign w:val="bottom"/>
          </w:tcPr>
          <w:p>
            <w:pPr>
              <w:spacing w:after="0"/>
              <w:rPr>
                <w:sz w:val="1"/>
                <w:szCs w:val="1"/>
                <w:color w:val="auto"/>
              </w:rPr>
            </w:pPr>
          </w:p>
        </w:tc>
      </w:tr>
      <w:tr>
        <w:trPr>
          <w:trHeight w:val="158"/>
        </w:trPr>
        <w:tc>
          <w:tcPr>
            <w:tcW w:w="372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828282"/>
              </w:rPr>
              <w:t>One Congress Street, Suite 1</w:t>
            </w:r>
          </w:p>
        </w:tc>
        <w:tc>
          <w:tcPr>
            <w:tcW w:w="306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20" w:type="dxa"/>
            <w:vAlign w:val="bottom"/>
          </w:tcPr>
          <w:p>
            <w:pPr>
              <w:ind w:left="60"/>
              <w:spacing w:after="0"/>
              <w:rPr>
                <w:sz w:val="20"/>
                <w:szCs w:val="20"/>
                <w:color w:val="auto"/>
              </w:rPr>
            </w:pPr>
            <w:r>
              <w:rPr>
                <w:rFonts w:ascii="Times New Roman" w:cs="Times New Roman" w:eastAsia="Times New Roman" w:hAnsi="Times New Roman"/>
                <w:sz w:val="14"/>
                <w:szCs w:val="14"/>
                <w:color w:val="828282"/>
              </w:rPr>
              <w:t>Boston, MA 02114</w:t>
            </w:r>
          </w:p>
        </w:tc>
        <w:tc>
          <w:tcPr>
            <w:tcW w:w="3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720" w:type="dxa"/>
            <w:vAlign w:val="bottom"/>
            <w:tcBorders>
              <w:bottom w:val="single" w:sz="8" w:color="DBDBDB"/>
            </w:tcBorders>
          </w:tcPr>
          <w:p>
            <w:pPr>
              <w:spacing w:after="0"/>
              <w:rPr>
                <w:sz w:val="4"/>
                <w:szCs w:val="4"/>
                <w:color w:val="auto"/>
              </w:rPr>
            </w:pPr>
          </w:p>
        </w:tc>
        <w:tc>
          <w:tcPr>
            <w:tcW w:w="3060" w:type="dxa"/>
            <w:vAlign w:val="bottom"/>
            <w:tcBorders>
              <w:bottom w:val="single" w:sz="8" w:color="DBDBDB"/>
            </w:tcBorders>
          </w:tcPr>
          <w:p>
            <w:pPr>
              <w:spacing w:after="0"/>
              <w:rPr>
                <w:sz w:val="4"/>
                <w:szCs w:val="4"/>
                <w:color w:val="auto"/>
              </w:rPr>
            </w:pPr>
          </w:p>
        </w:tc>
        <w:tc>
          <w:tcPr>
            <w:tcW w:w="2960" w:type="dxa"/>
            <w:vAlign w:val="bottom"/>
            <w:tcBorders>
              <w:bottom w:val="single" w:sz="8" w:color="DBDBD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80" w:hanging="72"/>
        <w:spacing w:after="0" w:line="214" w:lineRule="auto"/>
        <w:tabs>
          <w:tab w:leader="none" w:pos="73" w:val="left"/>
        </w:tabs>
        <w:numPr>
          <w:ilvl w:val="0"/>
          <w:numId w:val="3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Unless otherwise indicated in a footnote, each beneficial owner possesses sole voting and sole investment power with respect to their shares shown in the table. Voting rights are shared with spouses and other trustees in certain accounts for Thomas J. Bresnan (16,308 shares), Beth W. Cooper (2,328 shares), and Jeffry M. Householder (458 shares).</w:t>
      </w:r>
    </w:p>
    <w:p>
      <w:pPr>
        <w:spacing w:after="0" w:line="40" w:lineRule="exact"/>
        <w:rPr>
          <w:sz w:val="20"/>
          <w:szCs w:val="20"/>
          <w:color w:val="auto"/>
        </w:rPr>
      </w:pPr>
    </w:p>
    <w:p>
      <w:pPr>
        <w:jc w:val="both"/>
        <w:ind w:left="80" w:hanging="72"/>
        <w:spacing w:after="0" w:line="263" w:lineRule="auto"/>
        <w:tabs>
          <w:tab w:leader="none" w:pos="73" w:val="left"/>
        </w:tabs>
        <w:numPr>
          <w:ilvl w:val="0"/>
          <w:numId w:val="31"/>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According to its report on Schedule 13G/A, filed on January 22, 2024, BlackRock, Inc. (“BlackRock”) was deemed to beneficially own 3,584,083 shares, or 16.10%, of our common stock as of December 31, 2023. According to the Schedule 13G/A, BlackRock had sole power to vote 3,543,517 shares and sole power to dispose of 3,584,083 shares. BlackRock’s Schedule 13G/A, as filed with the SEC, certified that it acquired the shares of our common stock in the ordinary course of business and not for the purpose of changing or influencing the control of the Company.</w:t>
      </w:r>
    </w:p>
    <w:p>
      <w:pPr>
        <w:ind w:left="80" w:hanging="72"/>
        <w:spacing w:after="0" w:line="224" w:lineRule="auto"/>
        <w:tabs>
          <w:tab w:leader="none" w:pos="80" w:val="left"/>
        </w:tabs>
        <w:numPr>
          <w:ilvl w:val="0"/>
          <w:numId w:val="3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According to its report on Schedule 13G/A, filed on February 17, 2026, T. Rowe Price Investment Management, Inc. (“T. Rowe Price”) was deemed to beneficially own 2,304,833 shares, or</w:t>
      </w:r>
    </w:p>
    <w:p>
      <w:pPr>
        <w:ind w:left="80"/>
        <w:spacing w:after="0" w:line="231" w:lineRule="auto"/>
        <w:rPr>
          <w:sz w:val="20"/>
          <w:szCs w:val="20"/>
          <w:color w:val="auto"/>
        </w:rPr>
      </w:pPr>
      <w:r>
        <w:rPr>
          <w:rFonts w:ascii="Times New Roman" w:cs="Times New Roman" w:eastAsia="Times New Roman" w:hAnsi="Times New Roman"/>
          <w:sz w:val="14"/>
          <w:szCs w:val="14"/>
          <w:i w:val="1"/>
          <w:iCs w:val="1"/>
          <w:color w:val="auto"/>
        </w:rPr>
        <w:t>9.70%, of our common stock as of December 31, 2025. According to the Schedule 13G/A, T. Rowe Price had sole power to vote 2,298,187 shares and sole power to dispose of 2,304,833 shares. T. Rowe Price’s Schedule 13G/A, as filed with the SEC, certified that it acquired the shares of our common stock in the ordinary course of business and not for the purpose of changing or</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color w:val="auto"/>
        </w:rPr>
        <w:t>influencing the control of the Company.</w:t>
      </w:r>
    </w:p>
    <w:p>
      <w:pPr>
        <w:spacing w:after="0" w:line="51" w:lineRule="exact"/>
        <w:rPr>
          <w:sz w:val="20"/>
          <w:szCs w:val="20"/>
          <w:color w:val="auto"/>
        </w:rPr>
      </w:pPr>
    </w:p>
    <w:p>
      <w:pPr>
        <w:jc w:val="both"/>
        <w:ind w:left="80" w:hanging="72"/>
        <w:spacing w:after="0" w:line="228" w:lineRule="auto"/>
        <w:tabs>
          <w:tab w:leader="none" w:pos="73" w:val="left"/>
        </w:tabs>
        <w:numPr>
          <w:ilvl w:val="0"/>
          <w:numId w:val="3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According to its report on Schedule 13G/A, filed on February 13, 2024, The Vanguard Group (“Vanguard”) was deemed to beneficially own 1,740,123 shares, or 8.04%, of our common stock as of December 29, 2023. According to the Schedule 13G/A, Vanguard had sole power to vote 0 shares and sole power to dispose of 1,690,217 shares. Vanguard’s Schedule 13G/A, as filed with the SEC, certified that it acquired the shares of our common stock in the ordinary course of business and not for the purpose of changing or influencing the control of the Company.</w:t>
      </w:r>
    </w:p>
    <w:p>
      <w:pPr>
        <w:spacing w:after="0" w:line="40" w:lineRule="exact"/>
        <w:rPr>
          <w:sz w:val="20"/>
          <w:szCs w:val="20"/>
          <w:color w:val="auto"/>
        </w:rPr>
      </w:pPr>
    </w:p>
    <w:p>
      <w:pPr>
        <w:jc w:val="both"/>
        <w:ind w:left="80" w:hanging="72"/>
        <w:spacing w:after="0" w:line="222" w:lineRule="auto"/>
        <w:tabs>
          <w:tab w:leader="none" w:pos="73" w:val="left"/>
        </w:tabs>
        <w:numPr>
          <w:ilvl w:val="0"/>
          <w:numId w:val="3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According to its report on Schedule 13G/A, filed on October 17, 2024, State Street Corporation ("State Street") was deemed to beneficially own 1,222,149 shares, or 5.40% of our common stock as of September 30, 2024. According to the Schedule 13G/A, State Street had sole power to vote 0 shares and sole power to dispose of 0 shares. State Street's Schedule 13G/A, as filed with the SEC, certified that it acquired the shares of our common stock in the ordinary course of business and not for the purpose of changing or influencing control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Section 16(a) of the Exchange Act requires each of the Company's directors and executive officers, and any beneficial owner of more than 10% of our common stock, to file reports with the SEC. These include initial reports and reports of changes in the individual’s beneficial ownership of our common stock. Such persons are also required by SEC regulations to furnish the Company with copies of such reports. Other than BlackRock, Inc. which owned 16.1% of the Company's outstanding shares of common stock as of December 31, 2023, we are not aware of any person or entity that beneficially owns more than 10% of our common stock as of the date this Proxy Statement is filed with the SEC. To our knowledge, based solely on a review of (i) the Section 16 reports we filed on behalf of the Company's directors and executive officers, (ii) all Section 16(a) reports furnished to us, and (iii) the written representations made by such persons that no other reports were required, we believe that during the year ended December 31, 2025 all directors, executive officers, and holders of more than 10% of our common stock, filed on a timely basis the reports required by Section 16(a).</w:t>
      </w:r>
    </w:p>
    <w:p>
      <w:pPr>
        <w:sectPr>
          <w:pgSz w:w="11900" w:h="16838" w:orient="portrait"/>
          <w:cols w:equalWidth="0" w:num="1">
            <w:col w:w="11240"/>
          </w:cols>
          <w:pgMar w:left="320" w:top="995" w:right="339" w:bottom="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54"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36"/>
          <w:szCs w:val="36"/>
          <w:b w:val="1"/>
          <w:bCs w:val="1"/>
          <w:color w:val="00497F"/>
        </w:rPr>
        <w:t>6 - OUR ENGAGING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8" w:lineRule="exact"/>
        <w:rPr>
          <w:sz w:val="20"/>
          <w:szCs w:val="20"/>
          <w:color w:val="auto"/>
        </w:rPr>
      </w:pPr>
    </w:p>
    <w:p>
      <w:pPr>
        <w:ind w:right="500"/>
        <w:spacing w:after="0" w:line="241" w:lineRule="auto"/>
        <w:rPr>
          <w:sz w:val="20"/>
          <w:szCs w:val="20"/>
          <w:color w:val="auto"/>
        </w:rPr>
      </w:pPr>
      <w:r>
        <w:rPr>
          <w:rFonts w:ascii="Times New Roman" w:cs="Times New Roman" w:eastAsia="Times New Roman" w:hAnsi="Times New Roman"/>
          <w:sz w:val="36"/>
          <w:szCs w:val="36"/>
          <w:b w:val="1"/>
          <w:bCs w:val="1"/>
          <w:color w:val="00497F"/>
        </w:rPr>
        <w:t>Communications with the Board, Stockholders, Financial Community and Other Interested Parties</w:t>
      </w:r>
    </w:p>
    <w:p>
      <w:pPr>
        <w:spacing w:after="0" w:line="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Communications with the Board. </w:t>
      </w:r>
      <w:r>
        <w:rPr>
          <w:rFonts w:ascii="Times New Roman" w:cs="Times New Roman" w:eastAsia="Times New Roman" w:hAnsi="Times New Roman"/>
          <w:sz w:val="18"/>
          <w:szCs w:val="18"/>
          <w:color w:val="auto"/>
        </w:rPr>
        <w:t>Stockholders and other parties interested in communicating directly with the Board, a Committee of the Board,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director, the director who presides at executive sessions of the non-management or independent directors, or the non-management or independent directors, in each case, as a group, may do so by sending a written communication to the attention of the intended recipient(s) in care of the Corporate Secretary at Chesapeake Utilities Corporation, 500 Energy Lane, Dover, Delaware 19901. All communications must be accompanied by the following information: (i) if the person submitting the communication is a stockholder, a statement of the type and amount of securities of the Company that the person holds; (ii) if the person submitting the communication is not a stockholder and is submitting the communication to the non-management or independent directors as an interested party, the nature of the person’s interest in the Company; (iii) any special interest of the person in the subject matter of the communication; and (iv) the address, telephone number and email address, if any, of the person submitting the communication. The Corporate Secretary will forward all appropriate communications to the intended recipient(s). Communications relating to accounting, internal controls or auditing matters are handled in accordance with procedures established by the Audit Committee. The independent directors have unanimously approved these communications procedures. In 2025, eight of our nine then serving directors were in attendance at the 2025 Virtual Annual Meeting of Stockholders.</w:t>
      </w:r>
    </w:p>
    <w:p>
      <w:pPr>
        <w:spacing w:after="0" w:line="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Communications with Stockholders and the Financial Community. </w:t>
      </w:r>
      <w:r>
        <w:rPr>
          <w:rFonts w:ascii="Times New Roman" w:cs="Times New Roman" w:eastAsia="Times New Roman" w:hAnsi="Times New Roman"/>
          <w:sz w:val="18"/>
          <w:szCs w:val="18"/>
          <w:color w:val="auto"/>
        </w:rPr>
        <w:t>Our management team conducts outreach to stockholders and the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community throughout the year to obtain input and to inform our management team and the Board about matters of interest. Input is regularly shared with the Board and its Committees at their scheduled meetings and through interim updates given to the Board. During the year, we generally discuss our strategy, financial and operational performance, macroeconomics, as well as corporate governance, sustainability, human capital management, and compensation matters with stockholders and the financial community. Throughout 2025, management remained engaged with the Company's stockholders and the financial community through participation in virtual industry conferences and investor roadshows, which provided management the opportunity to communicate with securities analysts, portfolio managers, investors, rating agencies and investment bankers. Those attending the conferences have an opportunity to receive information about the Company and interact with the management team. Management also interacts with investors on a routine basis through various channels including, but not limited to, certain events and venues such as one-on-one discussions with new and existing stockholders throughout the year and quarterly and ongoing financial conference calls. Additionally, management periodically holds investor days with an accompanying tour of our facilities. Communications made during outreach efforts are done so in accordance with our Regulation FD policy.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7 -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The Compensation Committee annually reviews our executive compensation program. In fulfilling this responsibility, the Committee considers a variety of factors, including market trends and best practices for aligning compensation with our business strategy and overall objectives, the Company's strong culture across its businesses, the creation of stockholder value, and promoting a pay-for-performance culture. The Committee also considers market data for the Company’s peer group and industry published survey data provided by FW Cook. This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provides additional information on our program, including the plans under which performance incentive awards are granted to the executive officers.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2023 Stock and Incentive Compensation Plan (2023 SICP)</w:t>
      </w:r>
    </w:p>
    <w:p>
      <w:pPr>
        <w:spacing w:after="0" w:line="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2023, stockholders approved the Company's 2023 SICP under which employees and non-employee directors are eligible to receive equity awards. The full text of the 2023 SICP can be reviewed in our Proxy Statement that was filed with the SEC on March 21, 2023. The 2023 SICP enhances stockholder value by ensuring that employees and directors have a proprietary interest in our growth and financial success. The Board has the authority to determine the number and type of equity or stock awards to be granted to employees and directors under the 2023 SICP.</w:t>
      </w:r>
    </w:p>
    <w:p>
      <w:pPr>
        <w:spacing w:after="0" w:line="99" w:lineRule="exact"/>
        <w:rPr>
          <w:sz w:val="20"/>
          <w:szCs w:val="20"/>
          <w:color w:val="auto"/>
        </w:rPr>
      </w:pPr>
    </w:p>
    <w:p>
      <w:pPr>
        <w:ind w:right="600"/>
        <w:spacing w:after="0" w:line="244" w:lineRule="auto"/>
        <w:rPr>
          <w:sz w:val="20"/>
          <w:szCs w:val="20"/>
          <w:color w:val="auto"/>
        </w:rPr>
      </w:pPr>
      <w:r>
        <w:rPr>
          <w:rFonts w:ascii="Times New Roman" w:cs="Times New Roman" w:eastAsia="Times New Roman" w:hAnsi="Times New Roman"/>
          <w:sz w:val="36"/>
          <w:szCs w:val="36"/>
          <w:b w:val="1"/>
          <w:bCs w:val="1"/>
          <w:color w:val="00497F"/>
        </w:rPr>
        <w:t>Report of the Compensation Committee on Compensation Discussion and Analysis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Compensation Committee reviewed and discussed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with the Company's management. The Compensation Committee, based on its review and discussions, recommended to the Board that the following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be included in this Proxy Statement and filed with the SEC.</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in this Report shall not be considered “soliciting material,” or to be “filed” with the SEC nor shall this information be incorporated by reference into any previous or future filings under the Securities Act of 1933, as amended, or the Exchange Act, except to the extent that the Company incorporated it by specific reference.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is provided by the following independent directors who comprise the Compensation Committee: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66" w:lineRule="exact"/>
        <w:rPr>
          <w:sz w:val="20"/>
          <w:szCs w:val="20"/>
          <w:color w:val="auto"/>
        </w:rPr>
      </w:pPr>
    </w:p>
    <w:p>
      <w:pPr>
        <w:ind w:left="980"/>
        <w:spacing w:after="0"/>
        <w:tabs>
          <w:tab w:leader="none" w:pos="4680" w:val="left"/>
          <w:tab w:leader="none" w:pos="8640" w:val="left"/>
        </w:tabs>
        <w:rPr>
          <w:sz w:val="20"/>
          <w:szCs w:val="20"/>
          <w:color w:val="auto"/>
        </w:rPr>
      </w:pPr>
      <w:r>
        <w:rPr>
          <w:rFonts w:ascii="Times New Roman" w:cs="Times New Roman" w:eastAsia="Times New Roman" w:hAnsi="Times New Roman"/>
          <w:sz w:val="18"/>
          <w:szCs w:val="18"/>
          <w:b w:val="1"/>
          <w:bCs w:val="1"/>
          <w:color w:val="auto"/>
        </w:rPr>
        <w:t>Lisa G. Bisaccia, Chair</w:t>
      </w:r>
      <w:r>
        <w:rPr>
          <w:sz w:val="20"/>
          <w:szCs w:val="20"/>
          <w:color w:val="auto"/>
        </w:rPr>
        <w:tab/>
      </w:r>
      <w:r>
        <w:rPr>
          <w:rFonts w:ascii="Times New Roman" w:cs="Times New Roman" w:eastAsia="Times New Roman" w:hAnsi="Times New Roman"/>
          <w:sz w:val="36"/>
          <w:szCs w:val="36"/>
          <w:b w:val="1"/>
          <w:bCs w:val="1"/>
          <w:color w:val="auto"/>
          <w:vertAlign w:val="superscript"/>
        </w:rPr>
        <w:t>Ronald G. Forsythe, Jr.</w:t>
      </w:r>
      <w:r>
        <w:rPr>
          <w:sz w:val="20"/>
          <w:szCs w:val="20"/>
          <w:color w:val="auto"/>
        </w:rPr>
        <w:tab/>
      </w:r>
      <w:r>
        <w:rPr>
          <w:rFonts w:ascii="Times New Roman" w:cs="Times New Roman" w:eastAsia="Times New Roman" w:hAnsi="Times New Roman"/>
          <w:sz w:val="17"/>
          <w:szCs w:val="17"/>
          <w:b w:val="1"/>
          <w:bCs w:val="1"/>
          <w:color w:val="auto"/>
        </w:rPr>
        <w:t>Sheree M. Petrone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Compensation Discussion and Analysis</w:t>
      </w:r>
    </w:p>
    <w:p>
      <w:pPr>
        <w:spacing w:after="0" w:line="1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Throughout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of this Proxy Statement, we will provide information on the Company's NEOs, the structure and components of our executive compensation program, as well as various considerations and actions taken throughout the year by the Compensation Committee as it relates to the compensation for the NEOs.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this section, we identify five individuals in accordance with Item 402(a)(3) of Regulation S-K. These individuals are collectively referred to as the "Named Executive Officers" or "NEOs."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employees were Named Executive Officers in 2025:</w:t>
      </w:r>
    </w:p>
    <w:p>
      <w:pPr>
        <w:spacing w:after="0" w:line="131"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Jeffry M. Householder, President and CEO</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Beth W. Cooper, Executive Vice President, CFO, Treasurer and Assistant Secretary</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F. Moriarty, Executive Vice President, General Counsel, Corporate Secretary and Chief Policy and Risk Officer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 Sylvester, Senior Vice President and Chief Operating Officer</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J. Webber, Senior Vice President and Chief Development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Strong Performance and Strategic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Performance in 2025. </w:t>
      </w:r>
      <w:r>
        <w:rPr>
          <w:rFonts w:ascii="Times New Roman" w:cs="Times New Roman" w:eastAsia="Times New Roman" w:hAnsi="Times New Roman"/>
          <w:sz w:val="18"/>
          <w:szCs w:val="18"/>
          <w:color w:val="auto"/>
        </w:rPr>
        <w:t>As a result of the collective efforts of the Chesapeake Utilities team, we generated strong financial results in 2025,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those metrics that are tied to performance-based compensation. We started the year with a mission to deliver with purpose and reach new heights which is demonstrated in our 2025 performance results. Our performance for 2025 was very strong, representing double digit growth across a host of metrics and in line with our expectations, after adjusting for the Florida City Gas depreciation study outcome. Our 2025 capital expenditures totaled $470.4 million, exceeding the high end of the 2025 capital guidance range by $20 million. These achievements demonstrate our commitment to the goals we set upon acquiring FCG two years ago, and are a testament to our dedicated team who consistently strives to provide high-quality service and remains focused on delivering top-quartile performance. For additional information please view our financial results for the year ended December 31, 2025, as reported in our 2025 Annual Report on Form 10-K that was filed with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EARNINGS PER SHARE AND ANNUALIZED DIVIDEND GROWTH</w:t>
      </w:r>
    </w:p>
    <w:p>
      <w:pPr>
        <w:spacing w:after="0" w:line="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For 2025, Adjusted Net Income, excluding transaction and transition related expenses in connection with the acquisition of FCG, was $141.1 million compared to $121.5 million in 2024. Adjusted Basic EPS for 2025, excluding transaction and transition related expenses in connection with the acquisition of FCG, was $6.03 compared to $5.41 per share reported in the prior year, representing approximately 11.5% Adjusted EPS growth. These results were driven primarily by contributions from regulatory initiatives and infrastructure programs, organic growth in our natural gas distribution businesses, continued pipeline expansion projects, and increased demand for our compressed natural gas (CNG), renewable natural gas (RNG) and liquefied natural gas (LNG) services, as well as the issuance of equity in 2024 and 2025 to support restoring our ratio of equity to total capitalization close to its target ratio. Earnings in 2025 also reflected our continued efforts to drive ongoing business transformation - including technology upgrades and resulting efficiencies, cost management and real estate rationalization. Chesapeake Utilities has paid dividends to its stockholders for 65 consecutive years and has increased its annualized dividends for 22 consecutive years. Over the past five years, the annual dividend has increased from $1.92 to $2.74, representing an average growth rate of </w:t>
      </w:r>
      <w:r>
        <w:rPr>
          <w:rFonts w:ascii="Times New Roman" w:cs="Times New Roman" w:eastAsia="Times New Roman" w:hAnsi="Times New Roman"/>
          <w:sz w:val="16"/>
          <w:szCs w:val="16"/>
          <w:color w:val="auto"/>
        </w:rPr>
        <w:t>9.3%</w:t>
      </w:r>
      <w:r>
        <w:rPr>
          <w:rFonts w:ascii="Times New Roman" w:cs="Times New Roman" w:eastAsia="Times New Roman" w:hAnsi="Times New Roman"/>
          <w:sz w:val="18"/>
          <w:szCs w:val="18"/>
          <w:color w:val="auto"/>
        </w:rPr>
        <w:t>, while also enabling us to retain a significant portion of earnings to reinvest back into our businesses to fund future growth.</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Our EPS and our annualized dividend per share from 2021 through 2025 were as follows:</w:t>
      </w:r>
    </w:p>
    <w:p>
      <w:pPr>
        <w:spacing w:after="0" w:line="167" w:lineRule="exact"/>
        <w:rPr>
          <w:sz w:val="20"/>
          <w:szCs w:val="20"/>
          <w:color w:val="auto"/>
        </w:rPr>
      </w:pPr>
    </w:p>
    <w:p>
      <w:pPr>
        <w:ind w:left="14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BASIC EARNINGS PER SHARE*</w:t>
      </w:r>
      <w:r>
        <w:rPr>
          <w:sz w:val="20"/>
          <w:szCs w:val="20"/>
          <w:color w:val="auto"/>
        </w:rPr>
        <w:tab/>
      </w:r>
      <w:r>
        <w:rPr>
          <w:rFonts w:ascii="Times New Roman" w:cs="Times New Roman" w:eastAsia="Times New Roman" w:hAnsi="Times New Roman"/>
          <w:sz w:val="17"/>
          <w:szCs w:val="17"/>
          <w:b w:val="1"/>
          <w:bCs w:val="1"/>
          <w:color w:val="auto"/>
        </w:rPr>
        <w:t>ANNUALIZED DIVIDEND GROWTH</w:t>
      </w:r>
    </w:p>
    <w:p>
      <w:pPr>
        <w:spacing w:after="0" w:line="31" w:lineRule="exact"/>
        <w:rPr>
          <w:sz w:val="20"/>
          <w:szCs w:val="20"/>
          <w:color w:val="auto"/>
        </w:rPr>
      </w:pPr>
    </w:p>
    <w:p>
      <w:pPr>
        <w:ind w:left="1580"/>
        <w:spacing w:after="0"/>
        <w:tabs>
          <w:tab w:leader="none" w:pos="7160" w:val="left"/>
        </w:tabs>
        <w:rPr>
          <w:sz w:val="20"/>
          <w:szCs w:val="20"/>
          <w:color w:val="auto"/>
        </w:rPr>
      </w:pPr>
      <w:r>
        <w:rPr>
          <w:rFonts w:ascii="Times New Roman" w:cs="Times New Roman" w:eastAsia="Times New Roman" w:hAnsi="Times New Roman"/>
          <w:sz w:val="16"/>
          <w:szCs w:val="16"/>
          <w:i w:val="1"/>
          <w:iCs w:val="1"/>
          <w:color w:val="auto"/>
        </w:rPr>
        <w:t>5-Year CAGR Earnings Growth: 7.1%</w:t>
      </w:r>
      <w:r>
        <w:rPr>
          <w:sz w:val="20"/>
          <w:szCs w:val="20"/>
          <w:color w:val="auto"/>
        </w:rPr>
        <w:tab/>
      </w:r>
      <w:r>
        <w:rPr>
          <w:rFonts w:ascii="Times New Roman" w:cs="Times New Roman" w:eastAsia="Times New Roman" w:hAnsi="Times New Roman"/>
          <w:sz w:val="16"/>
          <w:szCs w:val="16"/>
          <w:i w:val="1"/>
          <w:iCs w:val="1"/>
          <w:color w:val="auto"/>
        </w:rPr>
        <w:t>5-Year CAGR Dividend Growth: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54610</wp:posOffset>
            </wp:positionV>
            <wp:extent cx="6566535" cy="131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6653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i w:val="1"/>
          <w:iCs w:val="1"/>
          <w:color w:val="auto"/>
        </w:rPr>
        <w:t>*2023 through 2025 results represent Adjusted Basic EPS and Adjusted Net Income, while 2021 and 2022 results represent EPS and Net Income on a GAAP basis. Adjusted Basic EPS and Adjusted Net Income exclude FCG transaction and transition related expenses. These results are aligned with current guidance.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ANNUALIZED AND TOTAL SHAREHOLDER RETURN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combination of dividends and stock price performance produced an average annualized shareholder return for the past 1, 5, 10 and 20-year periods ended December 31, 2025 that ranged from approximately 5% to 12%. The following charts reflect Chesapeake Utilities' total shareholder return as compared to the median and 75th percentile of our performance peer group. The performance peer group is comprised of the following companies: Atmos Energy Corporation, Black Hills Corporation, New Jersey Resources Corporation, NiSource Inc., Northwest Natural Holding Co., NorthWestern Corporation, ONE Gas, Inc., RGC Resources, Inc., Spire Inc., and Unitil Corporation.</w:t>
      </w:r>
    </w:p>
    <w:p>
      <w:pPr>
        <w:spacing w:after="0" w:line="131" w:lineRule="exact"/>
        <w:rPr>
          <w:sz w:val="20"/>
          <w:szCs w:val="20"/>
          <w:color w:val="auto"/>
        </w:rPr>
      </w:pPr>
    </w:p>
    <w:p>
      <w:pPr>
        <w:ind w:left="440"/>
        <w:spacing w:after="0"/>
        <w:tabs>
          <w:tab w:leader="none" w:pos="6420" w:val="left"/>
        </w:tabs>
        <w:rPr>
          <w:sz w:val="20"/>
          <w:szCs w:val="20"/>
          <w:color w:val="auto"/>
        </w:rPr>
      </w:pPr>
      <w:r>
        <w:rPr>
          <w:rFonts w:ascii="Times New Roman" w:cs="Times New Roman" w:eastAsia="Times New Roman" w:hAnsi="Times New Roman"/>
          <w:sz w:val="18"/>
          <w:szCs w:val="18"/>
          <w:b w:val="1"/>
          <w:bCs w:val="1"/>
          <w:color w:val="auto"/>
        </w:rPr>
        <w:t>AVERAGE ANNUALIZED SHAREHOLDER RETURN</w:t>
      </w:r>
      <w:r>
        <w:rPr>
          <w:sz w:val="20"/>
          <w:szCs w:val="20"/>
          <w:color w:val="auto"/>
        </w:rPr>
        <w:tab/>
      </w:r>
      <w:r>
        <w:rPr>
          <w:rFonts w:ascii="Times New Roman" w:cs="Times New Roman" w:eastAsia="Times New Roman" w:hAnsi="Times New Roman"/>
          <w:sz w:val="17"/>
          <w:szCs w:val="17"/>
          <w:b w:val="1"/>
          <w:bCs w:val="1"/>
          <w:color w:val="auto"/>
        </w:rPr>
        <w:t>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28575</wp:posOffset>
            </wp:positionV>
            <wp:extent cx="2468880" cy="1894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68880" cy="18942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28575</wp:posOffset>
            </wp:positionV>
            <wp:extent cx="2211705" cy="1645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1170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120" w:type="dxa"/>
        <w:tblCellMar>
          <w:top w:w="0" w:type="dxa"/>
          <w:left w:w="0" w:type="dxa"/>
          <w:bottom w:w="0" w:type="dxa"/>
          <w:right w:w="0" w:type="dxa"/>
        </w:tblCellMar>
      </w:tblP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Chesapeake Utilities Corporation</w:t>
            </w:r>
          </w:p>
        </w:tc>
        <w:tc>
          <w:tcPr>
            <w:tcW w:w="180" w:type="dxa"/>
            <w:vAlign w:val="bottom"/>
            <w:tcBorders>
              <w:bottom w:val="single" w:sz="8" w:color="6896C4"/>
            </w:tcBorders>
            <w:shd w:val="clear" w:color="auto" w:fill="6896C4"/>
          </w:tcPr>
          <w:p>
            <w:pPr>
              <w:spacing w:after="0"/>
              <w:rPr>
                <w:sz w:val="18"/>
                <w:szCs w:val="18"/>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Chesapeake Utilities Corporation</w:t>
            </w:r>
          </w:p>
        </w:tc>
        <w:tc>
          <w:tcPr>
            <w:tcW w:w="0" w:type="dxa"/>
            <w:vAlign w:val="bottom"/>
          </w:tcPr>
          <w:p>
            <w:pPr>
              <w:spacing w:after="0"/>
              <w:rPr>
                <w:sz w:val="1"/>
                <w:szCs w:val="1"/>
                <w:color w:val="auto"/>
              </w:rPr>
            </w:pPr>
          </w:p>
        </w:tc>
      </w:tr>
      <w:tr>
        <w:trPr>
          <w:trHeight w:val="54"/>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75th percentile of our peer group</w:t>
            </w:r>
          </w:p>
        </w:tc>
        <w:tc>
          <w:tcPr>
            <w:tcW w:w="180" w:type="dxa"/>
            <w:vAlign w:val="bottom"/>
          </w:tcPr>
          <w:p>
            <w:pPr>
              <w:spacing w:after="0"/>
              <w:rPr>
                <w:sz w:val="4"/>
                <w:szCs w:val="4"/>
                <w:color w:val="auto"/>
              </w:rPr>
            </w:pPr>
          </w:p>
        </w:tc>
        <w:tc>
          <w:tcPr>
            <w:tcW w:w="2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75th percentile of our peer group</w:t>
            </w:r>
          </w:p>
        </w:tc>
        <w:tc>
          <w:tcPr>
            <w:tcW w:w="0" w:type="dxa"/>
            <w:vAlign w:val="bottom"/>
          </w:tcPr>
          <w:p>
            <w:pPr>
              <w:spacing w:after="0"/>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80" w:type="dxa"/>
            <w:vAlign w:val="bottom"/>
            <w:tcBorders>
              <w:bottom w:val="single" w:sz="8" w:color="929292"/>
            </w:tcBorders>
            <w:shd w:val="clear" w:color="auto" w:fill="929292"/>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Median of our peer group</w:t>
            </w:r>
          </w:p>
        </w:tc>
        <w:tc>
          <w:tcPr>
            <w:tcW w:w="180" w:type="dxa"/>
            <w:vAlign w:val="bottom"/>
          </w:tcPr>
          <w:p>
            <w:pPr>
              <w:spacing w:after="0"/>
              <w:rPr>
                <w:sz w:val="4"/>
                <w:szCs w:val="4"/>
                <w:color w:val="auto"/>
              </w:rPr>
            </w:pPr>
          </w:p>
        </w:tc>
        <w:tc>
          <w:tcPr>
            <w:tcW w:w="2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Median of our peer group</w:t>
            </w:r>
          </w:p>
        </w:tc>
        <w:tc>
          <w:tcPr>
            <w:tcW w:w="0" w:type="dxa"/>
            <w:vAlign w:val="bottom"/>
          </w:tcPr>
          <w:p>
            <w:pPr>
              <w:spacing w:after="0"/>
              <w:rPr>
                <w:sz w:val="1"/>
                <w:szCs w:val="1"/>
                <w:color w:val="auto"/>
              </w:rPr>
            </w:pPr>
          </w:p>
        </w:tc>
      </w:tr>
      <w:tr>
        <w:trPr>
          <w:trHeight w:val="193"/>
        </w:trPr>
        <w:tc>
          <w:tcPr>
            <w:tcW w:w="5580" w:type="dxa"/>
            <w:vAlign w:val="bottom"/>
            <w:vMerge w:val="continue"/>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180" w:type="dxa"/>
            <w:vAlign w:val="bottom"/>
            <w:shd w:val="clear" w:color="auto" w:fill="DDDDDD"/>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-325120</wp:posOffset>
            </wp:positionV>
            <wp:extent cx="11176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14605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-145415</wp:posOffset>
            </wp:positionV>
            <wp:extent cx="11176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1460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GROWTH: INVESTING FOR THE FUTURE</w:t>
      </w:r>
    </w:p>
    <w:p>
      <w:pPr>
        <w:spacing w:after="0" w:line="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are focused on identifying and developing opportunities across the energy value chain, with emphasis on midstream and downstream investments that are accretive to earnings per share, consistent with our long-term growth strategy and focus on a more sustainable future. Our diverse asset base includes a foundation of regulated businesses and a portfolio of related unregulated energy businesses. We are continuing to pursue and develop new growth opportunities and regulatory strategies that build upon our core platform. We have invested approximately $2.3 billion over the last five years, which represents approximately 72% of the Company's total capitalization (including short-term borrowings) of $3.2 billion at December 31, 2025. The Company continues to affirm our 2028 EPS guidance range, which implies an annual EPS growth rate of approximately 8% from the 2025 EPS guidance, or since 2018, an 8.5% growth rate. These earnings projections are based upon the Company’s previously introduced capital expenditure guidance for the five-year period ended 2028 of $1.5 billion to $1.8 billion. The Company continues to re-affirm this five-year capital guidance and projects capital expenditures of $450 million to $500 million for 2026. Future growth is generated in part from the success in identifying and making profitable capital investments that accelerate change and fuel future earnings growth and new opportunities. Our performance is driven in part by our steadfast commitment to pursuing growth opportunities with discipline, determination and drive. Our results are a culmination of the growth efforts that have been underway for some time coupled with our ability to identify and drive other earnings opportunities including new pipeline expansion projects, distribution extensions to new areas, new</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33" w:name="page34"/>
    <w:bookmarkEnd w:id="33"/>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acquisitions, and new unregulated service offerings. Our earnings growth, because of the significance of our regulated operations, is driven by the additional capital investments we make. To sustain or increase our earnings growth rate, we invest in additional capital expenditures that generate returns equal to or greater than their respective target returns. For additional information please view our financial results for the year ended December 31, 2025, as reported in our 2025 Annual Report on Form 10-K that was as filed with the SEC.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executive compensation program is designed to attract and retain talented executive officers and to incentivize both short-term and long-term financial and operational performance, without encouraging unnecessary risk. The Compensation Committee retains discretion in administering all awards and performance goals, and determining performance achievement. The following provides the components of our executive compensation program.</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DIRECT COMPENSATION FOR THE NEOs</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60" w:type="dxa"/>
            <w:vAlign w:val="bottom"/>
            <w:tcBorders>
              <w:left w:val="single" w:sz="8" w:color="B6B6B6"/>
              <w:right w:val="single" w:sz="8" w:color="B6B6B6"/>
            </w:tcBorders>
            <w:shd w:val="clear" w:color="auto" w:fill="004080"/>
          </w:tcPr>
          <w:p>
            <w:pPr>
              <w:ind w:left="40"/>
              <w:spacing w:after="0"/>
              <w:rPr>
                <w:sz w:val="20"/>
                <w:szCs w:val="20"/>
                <w:color w:val="auto"/>
              </w:rPr>
            </w:pPr>
            <w:r>
              <w:rPr>
                <w:rFonts w:ascii="Times New Roman" w:cs="Times New Roman" w:eastAsia="Times New Roman" w:hAnsi="Times New Roman"/>
                <w:sz w:val="18"/>
                <w:szCs w:val="18"/>
                <w:color w:val="FFFFFF"/>
              </w:rPr>
              <w:t>Base Salary</w:t>
            </w:r>
          </w:p>
        </w:tc>
        <w:tc>
          <w:tcPr>
            <w:tcW w:w="3860" w:type="dxa"/>
            <w:vAlign w:val="bottom"/>
            <w:tcBorders>
              <w:right w:val="single" w:sz="8" w:color="B6B6B6"/>
            </w:tcBorders>
            <w:shd w:val="clear" w:color="auto" w:fill="004080"/>
          </w:tcPr>
          <w:p>
            <w:pPr>
              <w:ind w:left="20"/>
              <w:spacing w:after="0"/>
              <w:rPr>
                <w:sz w:val="20"/>
                <w:szCs w:val="20"/>
                <w:color w:val="auto"/>
              </w:rPr>
            </w:pPr>
            <w:r>
              <w:rPr>
                <w:rFonts w:ascii="Times New Roman" w:cs="Times New Roman" w:eastAsia="Times New Roman" w:hAnsi="Times New Roman"/>
                <w:sz w:val="18"/>
                <w:szCs w:val="18"/>
                <w:color w:val="FFFFFF"/>
              </w:rPr>
              <w:t>Short-Term Cash Incentive Award</w:t>
            </w:r>
          </w:p>
        </w:tc>
        <w:tc>
          <w:tcPr>
            <w:tcW w:w="3740" w:type="dxa"/>
            <w:vAlign w:val="bottom"/>
            <w:tcBorders>
              <w:right w:val="single" w:sz="8" w:color="B6B6B6"/>
            </w:tcBorders>
            <w:shd w:val="clear" w:color="auto" w:fill="004080"/>
          </w:tcPr>
          <w:p>
            <w:pPr>
              <w:ind w:left="20"/>
              <w:spacing w:after="0"/>
              <w:rPr>
                <w:sz w:val="20"/>
                <w:szCs w:val="20"/>
                <w:color w:val="auto"/>
              </w:rPr>
            </w:pPr>
            <w:r>
              <w:rPr>
                <w:rFonts w:ascii="Times New Roman" w:cs="Times New Roman" w:eastAsia="Times New Roman" w:hAnsi="Times New Roman"/>
                <w:sz w:val="18"/>
                <w:szCs w:val="18"/>
                <w:color w:val="FFFFFF"/>
              </w:rPr>
              <w:t>Long-Term Equity Incentive Award</w:t>
            </w:r>
          </w:p>
        </w:tc>
      </w:tr>
      <w:tr>
        <w:trPr>
          <w:trHeight w:val="184"/>
        </w:trPr>
        <w:tc>
          <w:tcPr>
            <w:tcW w:w="3660" w:type="dxa"/>
            <w:vAlign w:val="bottom"/>
            <w:tcBorders>
              <w:left w:val="single" w:sz="8" w:color="B6B6B6"/>
              <w:right w:val="single" w:sz="8" w:color="B6B6B6"/>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Fixed Compensation</w:t>
            </w:r>
          </w:p>
        </w:tc>
        <w:tc>
          <w:tcPr>
            <w:tcW w:w="386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At-risk compensation with a 1-year performance</w:t>
            </w:r>
          </w:p>
        </w:tc>
        <w:tc>
          <w:tcPr>
            <w:tcW w:w="3740" w:type="dxa"/>
            <w:vAlign w:val="bottom"/>
            <w:tcBorders>
              <w:right w:val="single" w:sz="8" w:color="B6B6B6"/>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At-risk compensation with a 3-year performance</w:t>
            </w:r>
          </w:p>
        </w:tc>
      </w:tr>
      <w:tr>
        <w:trPr>
          <w:trHeight w:val="241"/>
        </w:trPr>
        <w:tc>
          <w:tcPr>
            <w:tcW w:w="3660" w:type="dxa"/>
            <w:vAlign w:val="bottom"/>
            <w:tcBorders>
              <w:left w:val="single" w:sz="8" w:color="B6B6B6"/>
              <w:bottom w:val="single" w:sz="8" w:color="CBCBCB"/>
              <w:right w:val="single" w:sz="8" w:color="B6B6B6"/>
            </w:tcBorders>
          </w:tcPr>
          <w:p>
            <w:pPr>
              <w:spacing w:after="0"/>
              <w:rPr>
                <w:sz w:val="20"/>
                <w:szCs w:val="20"/>
                <w:color w:val="auto"/>
              </w:rPr>
            </w:pPr>
          </w:p>
        </w:tc>
        <w:tc>
          <w:tcPr>
            <w:tcW w:w="3860" w:type="dxa"/>
            <w:vAlign w:val="bottom"/>
            <w:tcBorders>
              <w:bottom w:val="single" w:sz="8" w:color="CBCBCB"/>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740" w:type="dxa"/>
            <w:vAlign w:val="bottom"/>
            <w:tcBorders>
              <w:bottom w:val="single" w:sz="8" w:color="CBCBCB"/>
              <w:right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r>
      <w:tr>
        <w:trPr>
          <w:trHeight w:val="240"/>
        </w:trPr>
        <w:tc>
          <w:tcPr>
            <w:tcW w:w="36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See page 31 for additional information.</w:t>
            </w:r>
          </w:p>
        </w:tc>
        <w:tc>
          <w:tcPr>
            <w:tcW w:w="386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See page 31 for additional information.</w:t>
            </w:r>
          </w:p>
        </w:tc>
        <w:tc>
          <w:tcPr>
            <w:tcW w:w="3740" w:type="dxa"/>
            <w:vAlign w:val="bottom"/>
            <w:tcBorders>
              <w:bottom w:val="single" w:sz="8" w:color="B6B6B6"/>
              <w:right w:val="single" w:sz="8" w:color="B6B6B6"/>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See page 32 for additional information.</w:t>
            </w:r>
          </w:p>
        </w:tc>
      </w:tr>
    </w:tbl>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BENEFIT PLANS AND PERQUISITES AVAILABLE TO CERTAIN EMPLOYEES, INCLUDING NEOs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top w:val="single" w:sz="8" w:color="ADADA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540" w:type="dxa"/>
            <w:vAlign w:val="bottom"/>
            <w:tcBorders>
              <w:top w:val="single" w:sz="8" w:color="ADADAD"/>
            </w:tcBorders>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9460" w:type="dxa"/>
            <w:vAlign w:val="bottom"/>
            <w:tcBorders>
              <w:top w:val="single" w:sz="8" w:color="ADADAD"/>
            </w:tcBorders>
          </w:tcPr>
          <w:p>
            <w:pPr>
              <w:ind w:left="220"/>
              <w:spacing w:after="0"/>
              <w:rPr>
                <w:sz w:val="20"/>
                <w:szCs w:val="20"/>
                <w:color w:val="auto"/>
              </w:rPr>
            </w:pPr>
            <w:r>
              <w:rPr>
                <w:rFonts w:ascii="Times New Roman" w:cs="Times New Roman" w:eastAsia="Times New Roman" w:hAnsi="Times New Roman"/>
                <w:sz w:val="18"/>
                <w:szCs w:val="18"/>
                <w:color w:val="auto"/>
              </w:rPr>
              <w:t>The Retirement Savings Plan is available to all eligible employees of the Company and its subsidiaries.</w:t>
            </w:r>
          </w:p>
        </w:tc>
      </w:tr>
      <w:tr>
        <w:trPr>
          <w:trHeight w:val="184"/>
        </w:trPr>
        <w:tc>
          <w:tcPr>
            <w:tcW w:w="12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Savings Plan</w:t>
            </w:r>
          </w:p>
        </w:tc>
        <w:tc>
          <w:tcPr>
            <w:tcW w:w="260" w:type="dxa"/>
            <w:vAlign w:val="bottom"/>
          </w:tcPr>
          <w:p>
            <w:pPr>
              <w:spacing w:after="0"/>
              <w:rPr>
                <w:sz w:val="16"/>
                <w:szCs w:val="16"/>
                <w:color w:val="auto"/>
              </w:rPr>
            </w:pPr>
          </w:p>
        </w:tc>
        <w:tc>
          <w:tcPr>
            <w:tcW w:w="280" w:type="dxa"/>
            <w:vAlign w:val="bottom"/>
            <w:tcBorders>
              <w:bottom w:val="single" w:sz="8" w:color="DDDDDD"/>
            </w:tcBorders>
          </w:tcPr>
          <w:p>
            <w:pPr>
              <w:spacing w:after="0"/>
              <w:rPr>
                <w:sz w:val="16"/>
                <w:szCs w:val="16"/>
                <w:color w:val="auto"/>
              </w:rPr>
            </w:pPr>
          </w:p>
        </w:tc>
        <w:tc>
          <w:tcPr>
            <w:tcW w:w="9460" w:type="dxa"/>
            <w:vAlign w:val="bottom"/>
            <w:tcBorders>
              <w:bottom w:val="single" w:sz="8" w:color="DDDDDD"/>
            </w:tcBorders>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Employees who participated in the Retirement Savings Plan in 2025 received matching contributions of up to 6% of eligible</w:t>
            </w:r>
          </w:p>
        </w:tc>
      </w:tr>
      <w:tr>
        <w:trPr>
          <w:trHeight w:val="171"/>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6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cash compensation deferred in the plan up to the applicable statutory compensation limit. The IRS limits the amount of pre-tax</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that a participant may make to their Retirement Savings Plan.</w:t>
            </w:r>
          </w:p>
        </w:tc>
      </w:tr>
      <w:tr>
        <w:trPr>
          <w:trHeight w:val="68"/>
        </w:trPr>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DDDDDD"/>
            </w:tcBorders>
          </w:tcPr>
          <w:p>
            <w:pPr>
              <w:spacing w:after="0"/>
              <w:rPr>
                <w:sz w:val="5"/>
                <w:szCs w:val="5"/>
                <w:color w:val="auto"/>
              </w:rPr>
            </w:pPr>
          </w:p>
        </w:tc>
        <w:tc>
          <w:tcPr>
            <w:tcW w:w="9460" w:type="dxa"/>
            <w:vAlign w:val="bottom"/>
            <w:tcBorders>
              <w:bottom w:val="single" w:sz="8" w:color="DDDDDD"/>
            </w:tcBorders>
          </w:tcPr>
          <w:p>
            <w:pPr>
              <w:spacing w:after="0"/>
              <w:rPr>
                <w:sz w:val="5"/>
                <w:szCs w:val="5"/>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Employees of the Company and its subsidiaries, as applicable, are eligible to receive an additional supplemental employer</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on non-stock compensation at the discretion of the Company.</w:t>
            </w:r>
          </w:p>
        </w:tc>
      </w:tr>
      <w:tr>
        <w:trPr>
          <w:trHeight w:val="36"/>
        </w:trPr>
        <w:tc>
          <w:tcPr>
            <w:tcW w:w="1240" w:type="dxa"/>
            <w:vAlign w:val="bottom"/>
            <w:tcBorders>
              <w:bottom w:val="single" w:sz="8" w:color="DDDDDD"/>
            </w:tcBorders>
          </w:tcPr>
          <w:p>
            <w:pPr>
              <w:spacing w:after="0"/>
              <w:rPr>
                <w:sz w:val="3"/>
                <w:szCs w:val="3"/>
                <w:color w:val="auto"/>
              </w:rPr>
            </w:pPr>
          </w:p>
        </w:tc>
        <w:tc>
          <w:tcPr>
            <w:tcW w:w="540" w:type="dxa"/>
            <w:vAlign w:val="bottom"/>
            <w:tcBorders>
              <w:bottom w:val="single" w:sz="8" w:color="DDDDDD"/>
            </w:tcBorders>
            <w:gridSpan w:val="2"/>
          </w:tcPr>
          <w:p>
            <w:pPr>
              <w:spacing w:after="0"/>
              <w:rPr>
                <w:sz w:val="3"/>
                <w:szCs w:val="3"/>
                <w:color w:val="auto"/>
              </w:rPr>
            </w:pPr>
          </w:p>
        </w:tc>
        <w:tc>
          <w:tcPr>
            <w:tcW w:w="9460" w:type="dxa"/>
            <w:vAlign w:val="bottom"/>
            <w:tcBorders>
              <w:bottom w:val="single" w:sz="8" w:color="DDDDDD"/>
            </w:tcBorders>
          </w:tcPr>
          <w:p>
            <w:pPr>
              <w:spacing w:after="0"/>
              <w:rPr>
                <w:sz w:val="3"/>
                <w:szCs w:val="3"/>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NQDC Plan</w:t>
            </w: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Extends the Retirement Savings Plan, on a non-qualified basis, for deferral of compensation that is in excess of the tax code</w:t>
            </w:r>
          </w:p>
        </w:tc>
      </w:tr>
      <w:tr>
        <w:trPr>
          <w:trHeight w:val="171"/>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6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limitations, as well as for Company matching and supplemental contributions on such excess cash deferrals under the same</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terms as the Retirement Savings Plan for a select group of management employees.</w:t>
            </w:r>
          </w:p>
        </w:tc>
      </w:tr>
      <w:tr>
        <w:trPr>
          <w:trHeight w:val="68"/>
        </w:trPr>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DDDDDD"/>
            </w:tcBorders>
          </w:tcPr>
          <w:p>
            <w:pPr>
              <w:spacing w:after="0"/>
              <w:rPr>
                <w:sz w:val="5"/>
                <w:szCs w:val="5"/>
                <w:color w:val="auto"/>
              </w:rPr>
            </w:pPr>
          </w:p>
        </w:tc>
        <w:tc>
          <w:tcPr>
            <w:tcW w:w="9460" w:type="dxa"/>
            <w:vAlign w:val="bottom"/>
            <w:tcBorders>
              <w:bottom w:val="single" w:sz="8" w:color="DDDDDD"/>
            </w:tcBorders>
          </w:tcPr>
          <w:p>
            <w:pPr>
              <w:spacing w:after="0"/>
              <w:rPr>
                <w:sz w:val="5"/>
                <w:szCs w:val="5"/>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Select employees of the Company and its subsidiaries, as applicable, are also eligible to receive an additional supplemental</w:t>
            </w:r>
          </w:p>
        </w:tc>
      </w:tr>
      <w:tr>
        <w:trPr>
          <w:trHeight w:val="171"/>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6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employer contribution at the discretion of the Company if such a contribution would have been made in the Retirement Savings</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 absent the compensation limit.</w:t>
            </w:r>
          </w:p>
        </w:tc>
      </w:tr>
      <w:tr>
        <w:trPr>
          <w:trHeight w:val="68"/>
        </w:trPr>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DDDDDD"/>
            </w:tcBorders>
          </w:tcPr>
          <w:p>
            <w:pPr>
              <w:spacing w:after="0"/>
              <w:rPr>
                <w:sz w:val="5"/>
                <w:szCs w:val="5"/>
                <w:color w:val="auto"/>
              </w:rPr>
            </w:pPr>
          </w:p>
        </w:tc>
        <w:tc>
          <w:tcPr>
            <w:tcW w:w="9460" w:type="dxa"/>
            <w:vAlign w:val="bottom"/>
            <w:tcBorders>
              <w:bottom w:val="single" w:sz="8" w:color="DDDDDD"/>
            </w:tcBorders>
          </w:tcPr>
          <w:p>
            <w:pPr>
              <w:spacing w:after="0"/>
              <w:rPr>
                <w:sz w:val="5"/>
                <w:szCs w:val="5"/>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Cash incentive awards may be deferred and paid at a later, predesignated time. Deferred cash incentive awards are eligible for</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matching and supplemental contributions by the Company.</w:t>
            </w:r>
          </w:p>
        </w:tc>
      </w:tr>
      <w:tr>
        <w:trPr>
          <w:trHeight w:val="36"/>
        </w:trPr>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DDDDDD"/>
            </w:tcBorders>
          </w:tcPr>
          <w:p>
            <w:pPr>
              <w:spacing w:after="0"/>
              <w:rPr>
                <w:sz w:val="3"/>
                <w:szCs w:val="3"/>
                <w:color w:val="auto"/>
              </w:rPr>
            </w:pPr>
          </w:p>
        </w:tc>
        <w:tc>
          <w:tcPr>
            <w:tcW w:w="9460" w:type="dxa"/>
            <w:vAlign w:val="bottom"/>
            <w:tcBorders>
              <w:bottom w:val="single" w:sz="8" w:color="DDDDDD"/>
            </w:tcBorders>
          </w:tcPr>
          <w:p>
            <w:pPr>
              <w:spacing w:after="0"/>
              <w:rPr>
                <w:sz w:val="3"/>
                <w:szCs w:val="3"/>
                <w:color w:val="auto"/>
              </w:rPr>
            </w:pPr>
          </w:p>
        </w:tc>
      </w:tr>
      <w:tr>
        <w:trPr>
          <w:trHeight w:val="256"/>
        </w:trPr>
        <w:tc>
          <w:tcPr>
            <w:tcW w:w="1240" w:type="dxa"/>
            <w:vAlign w:val="bottom"/>
          </w:tcPr>
          <w:p>
            <w:pPr>
              <w:spacing w:after="0"/>
              <w:rPr>
                <w:sz w:val="22"/>
                <w:szCs w:val="22"/>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incentive awards may be deferred for later settlement.</w:t>
            </w:r>
          </w:p>
        </w:tc>
      </w:tr>
      <w:tr>
        <w:trPr>
          <w:trHeight w:val="143"/>
        </w:trPr>
        <w:tc>
          <w:tcPr>
            <w:tcW w:w="1240" w:type="dxa"/>
            <w:vAlign w:val="bottom"/>
            <w:tcBorders>
              <w:bottom w:val="single" w:sz="8" w:color="DDDDDD"/>
            </w:tcBorders>
          </w:tcPr>
          <w:p>
            <w:pPr>
              <w:spacing w:after="0"/>
              <w:rPr>
                <w:sz w:val="12"/>
                <w:szCs w:val="12"/>
                <w:color w:val="auto"/>
              </w:rPr>
            </w:pPr>
          </w:p>
        </w:tc>
        <w:tc>
          <w:tcPr>
            <w:tcW w:w="540" w:type="dxa"/>
            <w:vAlign w:val="bottom"/>
            <w:tcBorders>
              <w:bottom w:val="single" w:sz="8" w:color="DDDDDD"/>
            </w:tcBorders>
            <w:gridSpan w:val="2"/>
          </w:tcPr>
          <w:p>
            <w:pPr>
              <w:spacing w:after="0"/>
              <w:rPr>
                <w:sz w:val="12"/>
                <w:szCs w:val="12"/>
                <w:color w:val="auto"/>
              </w:rPr>
            </w:pPr>
          </w:p>
        </w:tc>
        <w:tc>
          <w:tcPr>
            <w:tcW w:w="9460" w:type="dxa"/>
            <w:vAlign w:val="bottom"/>
            <w:tcBorders>
              <w:bottom w:val="single" w:sz="8" w:color="DDDDDD"/>
            </w:tcBorders>
          </w:tcPr>
          <w:p>
            <w:pPr>
              <w:spacing w:after="0"/>
              <w:rPr>
                <w:sz w:val="12"/>
                <w:szCs w:val="12"/>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Benefits</w:t>
            </w: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Executives participate in the same benefits that are available to all employees of the Company, including benefits under our</w:t>
            </w:r>
          </w:p>
        </w:tc>
      </w:tr>
      <w:tr>
        <w:trPr>
          <w:trHeight w:val="26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260" w:type="dxa"/>
            <w:vAlign w:val="bottom"/>
          </w:tcPr>
          <w:p>
            <w:pPr>
              <w:spacing w:after="0"/>
              <w:rPr>
                <w:sz w:val="22"/>
                <w:szCs w:val="22"/>
                <w:color w:val="auto"/>
              </w:rPr>
            </w:pPr>
          </w:p>
        </w:tc>
        <w:tc>
          <w:tcPr>
            <w:tcW w:w="280" w:type="dxa"/>
            <w:vAlign w:val="bottom"/>
            <w:tcBorders>
              <w:bottom w:val="single" w:sz="8" w:color="DDDDDD"/>
            </w:tcBorders>
          </w:tcPr>
          <w:p>
            <w:pPr>
              <w:spacing w:after="0"/>
              <w:rPr>
                <w:sz w:val="22"/>
                <w:szCs w:val="22"/>
                <w:color w:val="auto"/>
              </w:rPr>
            </w:pPr>
          </w:p>
        </w:tc>
        <w:tc>
          <w:tcPr>
            <w:tcW w:w="9460" w:type="dxa"/>
            <w:vAlign w:val="bottom"/>
            <w:tcBorders>
              <w:bottom w:val="single" w:sz="8" w:color="DDDDDD"/>
            </w:tcBorders>
          </w:tcPr>
          <w:p>
            <w:pPr>
              <w:ind w:left="220"/>
              <w:spacing w:after="0"/>
              <w:rPr>
                <w:sz w:val="20"/>
                <w:szCs w:val="20"/>
                <w:color w:val="auto"/>
              </w:rPr>
            </w:pPr>
            <w:r>
              <w:rPr>
                <w:rFonts w:ascii="Times New Roman" w:cs="Times New Roman" w:eastAsia="Times New Roman" w:hAnsi="Times New Roman"/>
                <w:sz w:val="18"/>
                <w:szCs w:val="18"/>
                <w:color w:val="auto"/>
              </w:rPr>
              <w:t>health and welfare plans, and short-term and long-term disability coverage.</w:t>
            </w:r>
          </w:p>
        </w:tc>
      </w:tr>
      <w:tr>
        <w:trPr>
          <w:trHeight w:val="203"/>
        </w:trPr>
        <w:tc>
          <w:tcPr>
            <w:tcW w:w="1240" w:type="dxa"/>
            <w:vAlign w:val="bottom"/>
          </w:tcPr>
          <w:p>
            <w:pPr>
              <w:spacing w:after="0"/>
              <w:rPr>
                <w:sz w:val="17"/>
                <w:szCs w:val="17"/>
                <w:color w:val="auto"/>
              </w:rPr>
            </w:pPr>
          </w:p>
        </w:tc>
        <w:tc>
          <w:tcPr>
            <w:tcW w:w="540" w:type="dxa"/>
            <w:vAlign w:val="bottom"/>
            <w:gridSpan w:val="2"/>
          </w:tcPr>
          <w:p>
            <w:pPr>
              <w:ind w:left="240"/>
              <w:spacing w:after="0" w:line="203"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xml:space="preserve"> column of the Summary Compensation Table provides benefits where the aggregate value is more</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than $10,000.</w:t>
            </w:r>
          </w:p>
        </w:tc>
      </w:tr>
      <w:tr>
        <w:trPr>
          <w:trHeight w:val="36"/>
        </w:trPr>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DDDDDD"/>
            </w:tcBorders>
          </w:tcPr>
          <w:p>
            <w:pPr>
              <w:spacing w:after="0"/>
              <w:rPr>
                <w:sz w:val="3"/>
                <w:szCs w:val="3"/>
                <w:color w:val="auto"/>
              </w:rPr>
            </w:pPr>
          </w:p>
        </w:tc>
        <w:tc>
          <w:tcPr>
            <w:tcW w:w="9460" w:type="dxa"/>
            <w:vAlign w:val="bottom"/>
            <w:tcBorders>
              <w:bottom w:val="single" w:sz="8" w:color="DDDDDD"/>
            </w:tcBorders>
          </w:tcPr>
          <w:p>
            <w:pPr>
              <w:spacing w:after="0"/>
              <w:rPr>
                <w:sz w:val="3"/>
                <w:szCs w:val="3"/>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On behalf of each employee, the Company pays an annual premium in connection with term life insurance. The life insurance</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of two times base salary is capped at $1,000,000, which limits the benefit to highly compensated employees.</w:t>
            </w:r>
          </w:p>
        </w:tc>
      </w:tr>
      <w:tr>
        <w:trPr>
          <w:trHeight w:val="238"/>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DDDDDD"/>
            </w:tcBorders>
          </w:tcPr>
          <w:p>
            <w:pPr>
              <w:spacing w:after="0"/>
              <w:rPr>
                <w:sz w:val="20"/>
                <w:szCs w:val="20"/>
                <w:color w:val="auto"/>
              </w:rPr>
            </w:pPr>
          </w:p>
        </w:tc>
        <w:tc>
          <w:tcPr>
            <w:tcW w:w="9460" w:type="dxa"/>
            <w:vAlign w:val="bottom"/>
            <w:tcBorders>
              <w:bottom w:val="single" w:sz="8" w:color="DDDDDD"/>
            </w:tcBorders>
          </w:tcPr>
          <w:p>
            <w:pPr>
              <w:spacing w:after="0"/>
              <w:rPr>
                <w:sz w:val="20"/>
                <w:szCs w:val="20"/>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Company-owned vehicles are available to the NEOs. Company vehicles are treated as imputed income for any personal use of</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vehicle and is filed with the IRS on Form W-2.</w:t>
            </w:r>
          </w:p>
        </w:tc>
      </w:tr>
      <w:tr>
        <w:trPr>
          <w:trHeight w:val="36"/>
        </w:trPr>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DDDDDD"/>
            </w:tcBorders>
          </w:tcPr>
          <w:p>
            <w:pPr>
              <w:spacing w:after="0"/>
              <w:rPr>
                <w:sz w:val="3"/>
                <w:szCs w:val="3"/>
                <w:color w:val="auto"/>
              </w:rPr>
            </w:pPr>
          </w:p>
        </w:tc>
        <w:tc>
          <w:tcPr>
            <w:tcW w:w="9460" w:type="dxa"/>
            <w:vAlign w:val="bottom"/>
            <w:tcBorders>
              <w:bottom w:val="single" w:sz="8" w:color="DDDDDD"/>
            </w:tcBorders>
          </w:tcPr>
          <w:p>
            <w:pPr>
              <w:spacing w:after="0"/>
              <w:rPr>
                <w:sz w:val="3"/>
                <w:szCs w:val="3"/>
                <w:color w:val="auto"/>
              </w:rPr>
            </w:pPr>
          </w:p>
        </w:tc>
      </w:tr>
      <w:tr>
        <w:trPr>
          <w:trHeight w:val="196"/>
        </w:trPr>
        <w:tc>
          <w:tcPr>
            <w:tcW w:w="1240" w:type="dxa"/>
            <w:vAlign w:val="bottom"/>
          </w:tcPr>
          <w:p>
            <w:pPr>
              <w:spacing w:after="0"/>
              <w:rPr>
                <w:sz w:val="17"/>
                <w:szCs w:val="17"/>
                <w:color w:val="auto"/>
              </w:rPr>
            </w:pPr>
          </w:p>
        </w:tc>
        <w:tc>
          <w:tcPr>
            <w:tcW w:w="5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Senior officers may elect to participate in financial planning services provided by a Company sponsored third-party financial</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w:t>
            </w:r>
          </w:p>
        </w:tc>
      </w:tr>
      <w:tr>
        <w:trPr>
          <w:trHeight w:val="22"/>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DDDDDD"/>
            </w:tcBorders>
          </w:tcPr>
          <w:p>
            <w:pPr>
              <w:spacing w:after="0" w:line="20" w:lineRule="exact"/>
              <w:rPr>
                <w:sz w:val="1"/>
                <w:szCs w:val="1"/>
                <w:color w:val="auto"/>
              </w:rPr>
            </w:pPr>
          </w:p>
        </w:tc>
        <w:tc>
          <w:tcPr>
            <w:tcW w:w="9460" w:type="dxa"/>
            <w:vAlign w:val="bottom"/>
            <w:tcBorders>
              <w:bottom w:val="single" w:sz="8" w:color="DDDDDD"/>
            </w:tcBorders>
          </w:tcPr>
          <w:p>
            <w:pPr>
              <w:spacing w:after="0" w:line="20" w:lineRule="exact"/>
              <w:rPr>
                <w:sz w:val="1"/>
                <w:szCs w:val="1"/>
                <w:color w:val="auto"/>
              </w:rPr>
            </w:pPr>
          </w:p>
        </w:tc>
      </w:tr>
      <w:tr>
        <w:trPr>
          <w:trHeight w:val="256"/>
        </w:trPr>
        <w:tc>
          <w:tcPr>
            <w:tcW w:w="1240" w:type="dxa"/>
            <w:vAlign w:val="bottom"/>
          </w:tcPr>
          <w:p>
            <w:pPr>
              <w:spacing w:after="0"/>
              <w:rPr>
                <w:sz w:val="22"/>
                <w:szCs w:val="22"/>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Employees have the ability to purchase propane at a discounted rate.</w:t>
            </w:r>
          </w:p>
        </w:tc>
      </w:tr>
      <w:tr>
        <w:trPr>
          <w:trHeight w:val="143"/>
        </w:trPr>
        <w:tc>
          <w:tcPr>
            <w:tcW w:w="1240" w:type="dxa"/>
            <w:vAlign w:val="bottom"/>
            <w:tcBorders>
              <w:bottom w:val="single" w:sz="8" w:color="DDDDDD"/>
            </w:tcBorders>
          </w:tcPr>
          <w:p>
            <w:pPr>
              <w:spacing w:after="0"/>
              <w:rPr>
                <w:sz w:val="12"/>
                <w:szCs w:val="12"/>
                <w:color w:val="auto"/>
              </w:rPr>
            </w:pPr>
          </w:p>
        </w:tc>
        <w:tc>
          <w:tcPr>
            <w:tcW w:w="260" w:type="dxa"/>
            <w:vAlign w:val="bottom"/>
            <w:tcBorders>
              <w:bottom w:val="single" w:sz="8" w:color="DDDDDD"/>
            </w:tcBorders>
          </w:tcPr>
          <w:p>
            <w:pPr>
              <w:spacing w:after="0"/>
              <w:rPr>
                <w:sz w:val="12"/>
                <w:szCs w:val="12"/>
                <w:color w:val="auto"/>
              </w:rPr>
            </w:pPr>
          </w:p>
        </w:tc>
        <w:tc>
          <w:tcPr>
            <w:tcW w:w="280" w:type="dxa"/>
            <w:vAlign w:val="bottom"/>
            <w:tcBorders>
              <w:bottom w:val="single" w:sz="8" w:color="DDDDDD"/>
            </w:tcBorders>
          </w:tcPr>
          <w:p>
            <w:pPr>
              <w:spacing w:after="0"/>
              <w:rPr>
                <w:sz w:val="12"/>
                <w:szCs w:val="12"/>
                <w:color w:val="auto"/>
              </w:rPr>
            </w:pPr>
          </w:p>
        </w:tc>
        <w:tc>
          <w:tcPr>
            <w:tcW w:w="9460" w:type="dxa"/>
            <w:vAlign w:val="bottom"/>
            <w:tcBorders>
              <w:bottom w:val="single" w:sz="8" w:color="DDDDDD"/>
            </w:tcBorders>
          </w:tcPr>
          <w:p>
            <w:pPr>
              <w:spacing w:after="0"/>
              <w:rPr>
                <w:sz w:val="12"/>
                <w:szCs w:val="12"/>
                <w:color w:val="auto"/>
              </w:rPr>
            </w:pPr>
          </w:p>
        </w:tc>
      </w:tr>
    </w:tbl>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this compensation program aligns the financial interests of the executive officers with the interests of stockholders. The Committee's approach to executive compensation encompasses practices that focus on a fair, reasonable and competitive executive compensation program while also aligning total compensation with our business objectives and performance, thereby focusing on stockholder value. The mix of base salary and performance-based incentive awards promote a pay-for-performance culture. In addition to those practices described above, several other practices encompassed in our executive compensation program are as follows:</w:t>
      </w:r>
    </w:p>
    <w:p>
      <w:pPr>
        <w:sectPr>
          <w:pgSz w:w="11900" w:h="16838" w:orient="portrait"/>
          <w:cols w:equalWidth="0" w:num="1">
            <w:col w:w="11260"/>
          </w:cols>
          <w:pgMar w:left="320" w:top="945" w:right="31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5" w:right="319" w:bottom="1440" w:gutter="0" w:footer="0" w:header="0"/>
          <w:type w:val="continuous"/>
        </w:sectPr>
      </w:pPr>
    </w:p>
    <w:bookmarkStart w:id="34" w:name="page35"/>
    <w:bookmarkEnd w:id="34"/>
    <w:p>
      <w:pPr>
        <w:jc w:val="both"/>
        <w:ind w:left="180" w:hanging="172"/>
        <w:spacing w:after="0" w:line="245" w:lineRule="auto"/>
        <w:tabs>
          <w:tab w:leader="none" w:pos="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recovery policy is in place that complies with the Dodd-Frank Wall Street Reform and Consumer Protection Act and related NYSE rules which requires the repayment by a named executive officer if an incentive award was calculated based upon the achievement of certain financial results or other performance metrics that, in either case, were subsequently found to be materially inaccurate for any reason (including, without limitation, by reason of a financial restatement, mistake in calculations, or other administrative error);</w:t>
      </w:r>
    </w:p>
    <w:p>
      <w:pPr>
        <w:spacing w:after="0" w:line="18" w:lineRule="exact"/>
        <w:rPr>
          <w:rFonts w:ascii="Times New Roman" w:cs="Times New Roman" w:eastAsia="Times New Roman" w:hAnsi="Times New Roman"/>
          <w:sz w:val="18"/>
          <w:szCs w:val="18"/>
          <w:color w:val="auto"/>
        </w:rPr>
      </w:pPr>
    </w:p>
    <w:p>
      <w:pPr>
        <w:ind w:left="180" w:hanging="172"/>
        <w:spacing w:after="0" w:line="266" w:lineRule="auto"/>
        <w:tabs>
          <w:tab w:leader="none" w:pos="1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transactions related to the Company's stock is prohibited, as well as pledging the Company's stock as collateral for a loan or holding the Company's stock in a margin account;</w:t>
      </w:r>
    </w:p>
    <w:p>
      <w:pPr>
        <w:ind w:left="160" w:hanging="152"/>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provide excise tax gross-up protections; and</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are in place that require attaining a certain ownership threshold within a specific time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Determination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the Compensation Committee. </w:t>
      </w:r>
      <w:r>
        <w:rPr>
          <w:rFonts w:ascii="Times New Roman" w:cs="Times New Roman" w:eastAsia="Times New Roman" w:hAnsi="Times New Roman"/>
          <w:sz w:val="18"/>
          <w:szCs w:val="18"/>
          <w:color w:val="auto"/>
        </w:rPr>
        <w:t>The Compensation Committee is solely responsible for the oversight and administration of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program. The Committee designs, recommends to the Board for adoption as appropriate, and administers the policies and practices related to executive compensation. The Committee, to the extent that it deems appropriate (and, in the case of any of the Company's employee benefit plans, to the extent permitted by the plan), may delegate the day-to-day administration of matters under its authority to employees of the Company, or a subcommittee, subject in all cases to the Committee's oversight responsibility. The Compensation Committee believes that the most effective compensation program is one that is designed to ensure that total compensation is fair, reasonable and competitive. The primary objectives in creating an effective compensation program are to:</w:t>
      </w:r>
    </w:p>
    <w:p>
      <w:pPr>
        <w:spacing w:after="0" w:line="38" w:lineRule="exact"/>
        <w:rPr>
          <w:sz w:val="20"/>
          <w:szCs w:val="20"/>
          <w:color w:val="auto"/>
        </w:rPr>
      </w:pPr>
    </w:p>
    <w:p>
      <w:pPr>
        <w:ind w:left="180" w:hanging="172"/>
        <w:spacing w:after="0" w:line="266" w:lineRule="auto"/>
        <w:tabs>
          <w:tab w:leader="none" w:pos="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mix of compensation to enhance performance that aligns the financial interests of the executive officers with the interests of our stockholders;</w:t>
      </w:r>
    </w:p>
    <w:p>
      <w:pPr>
        <w:spacing w:after="0" w:line="67" w:lineRule="exact"/>
        <w:rPr>
          <w:rFonts w:ascii="Times New Roman" w:cs="Times New Roman" w:eastAsia="Times New Roman" w:hAnsi="Times New Roman"/>
          <w:sz w:val="18"/>
          <w:szCs w:val="18"/>
          <w:color w:val="auto"/>
        </w:rPr>
      </w:pPr>
    </w:p>
    <w:p>
      <w:pPr>
        <w:ind w:left="180" w:hanging="172"/>
        <w:spacing w:after="0" w:line="266" w:lineRule="auto"/>
        <w:tabs>
          <w:tab w:leader="none" w:pos="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program to attract high-quality executive talent that will incentivize performance that focuses on achieving our short and long-term goals; and</w:t>
      </w:r>
    </w:p>
    <w:p>
      <w:pPr>
        <w:spacing w:after="0" w:line="54" w:lineRule="exact"/>
        <w:rPr>
          <w:rFonts w:ascii="Times New Roman" w:cs="Times New Roman" w:eastAsia="Times New Roman" w:hAnsi="Times New Roman"/>
          <w:sz w:val="18"/>
          <w:szCs w:val="18"/>
          <w:color w:val="auto"/>
        </w:rPr>
      </w:pPr>
    </w:p>
    <w:p>
      <w:pPr>
        <w:ind w:left="180" w:hanging="172"/>
        <w:spacing w:after="0" w:line="282" w:lineRule="auto"/>
        <w:tabs>
          <w:tab w:leader="none" w:pos="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to effective development of talent through internal processes such as performance evaluations, succession planning, and leadership development.</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annually reviews the executive compensation program to align (i) the program with the Company's objectives; (ii) the components of each element of compensation to arrive at a proper overall compensation level; and (iii) the compensation with that earned by executive officers in comparable positions at peer companies.</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Management. </w:t>
      </w:r>
      <w:r>
        <w:rPr>
          <w:rFonts w:ascii="Times New Roman" w:cs="Times New Roman" w:eastAsia="Times New Roman" w:hAnsi="Times New Roman"/>
          <w:sz w:val="18"/>
          <w:szCs w:val="18"/>
          <w:color w:val="auto"/>
        </w:rPr>
        <w:t>The Chief Executive Officer participates in establishing the compensation targets and payout levels for the other NEOs.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assesses the performance for the NEOs and recommends to the Compensation Committee the overall levels of achievement and the extent to which performance targets were attained. Upon request, supplemental materials are provided by management to the Compensation Committee to assist in making its determinations in regards to the overall levels of achievement. The Chief Executive Officer is not involved in any part of the setting of any component of his compensation. The Chief Executive Officer and other members of senior management attend Compensation Committee meetings only at the invitation of the Compensation Committee or the Chief Executive Officer.</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Role of Independent Compensation Consultant. </w:t>
      </w:r>
      <w:r>
        <w:rPr>
          <w:rFonts w:ascii="Times New Roman" w:cs="Times New Roman" w:eastAsia="Times New Roman" w:hAnsi="Times New Roman"/>
          <w:sz w:val="18"/>
          <w:szCs w:val="18"/>
          <w:color w:val="auto"/>
        </w:rPr>
        <w:t>The Compensation Committee engaged FW Cook as its independent compensation consultant to assist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reviewing and assessing the competitiveness of the Company's executive compensation program. FW Cook advises the Compensation Committee on executive compensation and non-employee director compensation matters. FW Cook does not provide any other services to the Company.</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and Tax Considerations. </w:t>
      </w:r>
      <w:r>
        <w:rPr>
          <w:rFonts w:ascii="Times New Roman" w:cs="Times New Roman" w:eastAsia="Times New Roman" w:hAnsi="Times New Roman"/>
          <w:sz w:val="18"/>
          <w:szCs w:val="18"/>
          <w:color w:val="auto"/>
        </w:rPr>
        <w:t>The Company’s 2025 executive compensation program is similar to the program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established in prior years. We refer you to our discussion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of this Proxy Statement for further information regarding our executive compensation program design, including performance-based compensation. Prior to establishing the executive compensation program for the ensuing year, consideration is given to the accounting and tax treatment of certain forms of compensation. Effective January 1, 2019, the United States Tax Cuts and Jobs Act provided that all remuneration in excess of $1 million in a single year, including most performance-based compensation payable to the Chief Executive Officer, Chief Financial Officer or to any one of the Company’s three most highly compensated executive officers, is not deductible for federal income tax purposes.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Companies in Our Peer Group. </w:t>
      </w:r>
      <w:r>
        <w:rPr>
          <w:rFonts w:ascii="Times New Roman" w:cs="Times New Roman" w:eastAsia="Times New Roman" w:hAnsi="Times New Roman"/>
          <w:sz w:val="18"/>
          <w:szCs w:val="18"/>
          <w:color w:val="auto"/>
        </w:rPr>
        <w:t>In December 2024 and January 2025, FW Cook prepared market analyses that compared our compensation practices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salary, target cash compensation, and target total direct compensation against those in an energy industry survey group. FW Cook also compared our compensation practices to the following gas, electric and diversified utilities (collectively, our "Compensation Peer Group"): ALLETE, Inc., Avista Corporation, Black Hills Corporation, IDACORP, Inc., MGE Energy, Inc., New Jersey Resources Corporation, Northwest Natural Holding Co., NorthWestern Corporation, ONE Gas, Inc., Spire Inc., and Unitil Corporation. The Compensation Committee reviewed and discussed the market analyses with FW Cook. The market analyses reflected that target total direct compensation for the NEOs was, on average, within a competitive range of the market median (within +/-15%) for the survey data. Our short-term and long-term incentive programs include financial metrics that are benchmarked</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against peer companies. The performance peer group established by the Compensation Committee relating to our long-term incentive program for the 2025-2027 performance period is comprised of the following companies which are similar to ours in terms of business operations: Atmos Energy Corporation, Black Hills Corporation, New Jersey Resources Corporation, NiSource Inc., Northwest Natural Holding Co., NorthWestern Corporation, ONE Gas, Inc., RGC Resources, Inc., Spire Inc., and Unitil Corporation.</w:t>
      </w:r>
    </w:p>
    <w:p>
      <w:pPr>
        <w:spacing w:after="0" w:line="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Say-on-Pay. </w:t>
      </w:r>
      <w:r>
        <w:rPr>
          <w:rFonts w:ascii="Times New Roman" w:cs="Times New Roman" w:eastAsia="Times New Roman" w:hAnsi="Times New Roman"/>
          <w:sz w:val="18"/>
          <w:szCs w:val="18"/>
          <w:color w:val="auto"/>
        </w:rPr>
        <w:t>The Compensation Committee will consider advisory stockholder votes in the future when determining executive compensation.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annual say-on-pay advisory votes as supported by our stockholders.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 and Controls. </w:t>
      </w:r>
      <w:r>
        <w:rPr>
          <w:rFonts w:ascii="Times New Roman" w:cs="Times New Roman" w:eastAsia="Times New Roman" w:hAnsi="Times New Roman"/>
          <w:sz w:val="18"/>
          <w:szCs w:val="18"/>
          <w:color w:val="auto"/>
        </w:rPr>
        <w:t>We have controls in place that discourage unnecessary risk-taking. The NEOs simultaneously participate in the 2015 Cash Plan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2023 SICP, which provides multiple performance criteria at any given time. The Compensation Committee has discretion and the ability to adjust awards based on an NEO's individual performance. Several other features of the cash incentive award process further mitigate risk-taking and exposure, including the following: (i) financial results for the respective award period are reviewed by the Audit Committee prior to the issuance of any cash incentive award; (ii) the target for the cash incentive award is set at an amount that approximates the median cash incentive award of an industry peer group; and (iii) each cash incentive award is subject to a cap (a maximum of 200% of the target) on the maximum amount that can be earned, and a cap on the amount that can be paid under the 2015 Cash Plan, for any performance period.</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equity incentive awards compensate NEOs for improving stockholder value by achieving growth in TSR as well as growth in earnings, while investing for future long-term earnings growth. The Compensation Committee believes that these awards do not encourage unnecessary risk-taking since part of the ultimate value of the award is tied to the Company’s stock price and awards are staggered and cover a multi-year performance period. Additionally, several other features of the equity incentive award process further minimize potential risk: (i) financial results for the respective award year are reviewed by the Audit Committee prior to the issuance of any equity incentive award; (ii) all performance metrics over the relevant performance periods are benchmarked against the same measures for a peer group of natural gas distribution companies, and for awards granted prior to February 2024, the average ROE performance component is compared to predetermined ROE thresholds that are established by the Compensation Committee; and (iii) each equity incentive award features a cap (a maximum of 200% of the target) on the maximum amount that can be earned in any year. The Compensation Committee believes that the 2015 Cash Plan and the 2023 SICP appropriately balance risk and the desire to focus on areas considered critical to the short-term and long-term growth and success of the Company.</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has adopted additional practices to ensure diligent and prudent decision-making and review processes. The practices that are in place to manage and control risk include:</w:t>
      </w:r>
    </w:p>
    <w:p>
      <w:pPr>
        <w:spacing w:after="0" w:line="54" w:lineRule="exact"/>
        <w:rPr>
          <w:sz w:val="20"/>
          <w:szCs w:val="20"/>
          <w:color w:val="auto"/>
        </w:rPr>
      </w:pPr>
    </w:p>
    <w:p>
      <w:pPr>
        <w:ind w:left="180" w:hanging="172"/>
        <w:spacing w:after="0" w:line="266"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incentive and equity incentive awards include performance components that are tied to the Company's strategic plan and capital budget, which are reviewed and approved by the Board;</w:t>
      </w:r>
    </w:p>
    <w:p>
      <w:pPr>
        <w:spacing w:after="0" w:line="67" w:lineRule="exact"/>
        <w:rPr>
          <w:rFonts w:ascii="Times New Roman" w:cs="Times New Roman" w:eastAsia="Times New Roman" w:hAnsi="Times New Roman"/>
          <w:sz w:val="18"/>
          <w:szCs w:val="18"/>
          <w:color w:val="auto"/>
        </w:rPr>
      </w:pPr>
    </w:p>
    <w:p>
      <w:pPr>
        <w:ind w:left="180" w:hanging="172"/>
        <w:spacing w:after="0" w:line="266"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its goal-setting process, the Compensation Committee considers prior years' performance relative to future expected performance to assess the reasonableness of the goals;</w:t>
      </w:r>
    </w:p>
    <w:p>
      <w:pPr>
        <w:spacing w:after="0" w:line="54"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2015 Cash Plan and the 2023 SICP include both performance and profitability measures, thus balancing growth with value creation;</w:t>
      </w:r>
    </w:p>
    <w:p>
      <w:pPr>
        <w:spacing w:after="0" w:line="11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retains discretion in administering all awards and performance goals, and in determining performance achievement;</w:t>
      </w:r>
    </w:p>
    <w:p>
      <w:pPr>
        <w:spacing w:after="0" w:line="103" w:lineRule="exact"/>
        <w:rPr>
          <w:rFonts w:ascii="Times New Roman" w:cs="Times New Roman" w:eastAsia="Times New Roman" w:hAnsi="Times New Roman"/>
          <w:sz w:val="18"/>
          <w:szCs w:val="18"/>
          <w:color w:val="auto"/>
        </w:rPr>
      </w:pPr>
    </w:p>
    <w:p>
      <w:pPr>
        <w:jc w:val="both"/>
        <w:ind w:left="180" w:right="20" w:hanging="172"/>
        <w:spacing w:after="0" w:line="258"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is subject to stock ownership guidelines commensurate with their position that requires attaining and maintaining a specific stock ownership threshold, which stock, together with the NEO's equity awards, could lose significant value over time if the Company were exposed to inappropriate or unnecessary risks that could affect the Company's stock price; and</w:t>
      </w:r>
    </w:p>
    <w:p>
      <w:pPr>
        <w:spacing w:after="0" w:line="61" w:lineRule="exact"/>
        <w:rPr>
          <w:rFonts w:ascii="Times New Roman" w:cs="Times New Roman" w:eastAsia="Times New Roman" w:hAnsi="Times New Roman"/>
          <w:sz w:val="18"/>
          <w:szCs w:val="18"/>
          <w:color w:val="auto"/>
        </w:rPr>
      </w:pPr>
    </w:p>
    <w:p>
      <w:pPr>
        <w:jc w:val="both"/>
        <w:ind w:left="180" w:hanging="172"/>
        <w:spacing w:after="0" w:line="258" w:lineRule="auto"/>
        <w:tabs>
          <w:tab w:leader="none" w:pos="1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recovery policy is in place that requires the repayment by a named executive officer if an incentive award was calculated based upon the achievement of certain financial results or other performance metrics that, in either case, were subsequently found to be materially inaccurate for any reason.</w:t>
      </w:r>
    </w:p>
    <w:p>
      <w:pPr>
        <w:spacing w:after="0" w:line="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2024 and January 2025, FW Cook provided the Compensation Committee with market analyses that compared the Company’s executive compensation with market data for the Company’s peer group, as well as with energy industry survey data. The Compensation Peer Group used for the comparison data is described under the </w:t>
      </w:r>
      <w:r>
        <w:rPr>
          <w:rFonts w:ascii="Times New Roman" w:cs="Times New Roman" w:eastAsia="Times New Roman" w:hAnsi="Times New Roman"/>
          <w:sz w:val="18"/>
          <w:szCs w:val="18"/>
          <w:i w:val="1"/>
          <w:iCs w:val="1"/>
          <w:color w:val="auto"/>
        </w:rPr>
        <w:t>Companies in Our Peer Group</w:t>
      </w:r>
      <w:r>
        <w:rPr>
          <w:rFonts w:ascii="Times New Roman" w:cs="Times New Roman" w:eastAsia="Times New Roman" w:hAnsi="Times New Roman"/>
          <w:sz w:val="18"/>
          <w:szCs w:val="18"/>
          <w:color w:val="auto"/>
        </w:rPr>
        <w:t xml:space="preserve"> section in this Proxy Statement. Target total direct compensation for the NEOs was, on average, within a competitive range of the market median (within +/-15%) for the survey data. The Company reviewed its compensation programs applicable to all employees in conjunction with the risks that were identified and included in the Company's Annual Report on Form 10-K and determined that these programs do not create risk that could result in a material adverse effect on the Company.</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and Retention Guidelines. </w:t>
      </w:r>
      <w:r>
        <w:rPr>
          <w:rFonts w:ascii="Times New Roman" w:cs="Times New Roman" w:eastAsia="Times New Roman" w:hAnsi="Times New Roman"/>
          <w:sz w:val="18"/>
          <w:szCs w:val="18"/>
          <w:color w:val="auto"/>
        </w:rPr>
        <w:t>The Corporate Governance Committee is responsible for the development, oversight, and monitoring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guidelines. In November 2014 and November 2022, the Board amended the ownership guidelines upon the recommendation of the Corporate Governance Committee, replacing those guidelines adopted by the Board in 2006. The amended stock ownership guidelines include recommendations made by FW Cook.</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36" w:name="page37"/>
    <w:bookmarkEnd w:id="36"/>
    <w:p>
      <w:pPr>
        <w:jc w:val="both"/>
        <w:spacing w:after="0" w:line="259" w:lineRule="auto"/>
        <w:rPr>
          <w:sz w:val="20"/>
          <w:szCs w:val="20"/>
          <w:color w:val="auto"/>
        </w:rPr>
      </w:pPr>
      <w:r>
        <w:rPr>
          <w:rFonts w:ascii="Times New Roman" w:cs="Times New Roman" w:eastAsia="Times New Roman" w:hAnsi="Times New Roman"/>
          <w:sz w:val="18"/>
          <w:szCs w:val="18"/>
          <w:color w:val="auto"/>
        </w:rPr>
        <w:t>The stock ownership guidelines promote long-term profitability by aligning the interests of the NEOs with those of the Company's stockholders and mitigating potential compensation related-risk. The Chief Executive Officer's stock ownership requirement is five times base salary, and all other NEOs are at three times base salary. The stock ownership requirements can be achieved through several means, including outright ownership of shares by the NEOs and their immediate family members (as defined by SEC rules and regulations and including shares held in trust), making purchases on the open market, making optional cash investments through our Dividend Reinvestment and Direct Stock Purchase Plan, and earning performance incentive shares awarded by the Compensation Committee upon completion of the relevant performance period. Once a NEO attains the ownership requirement, the NEO will remain in compliance with the ownership guidelines despite future changes in the stock price and base salary, as long as the NEO continues to own shares equal to the number of shares owned at the time the ownership requirement is met.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Key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Base Salary is a fixed compensation element that is set at competitive levels in order to attract and retain executive officers with skills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attributes that align with our culture and strategic goals. In December 2024 and January 2025, the Compensation Committee reviewed and discussed the market analyses that were prepared by FW Cook to assess the competitiveness of base salary levels. FW Cook's market assessments compared the Company's base salaries for the NEOs against market data for the Company's peer group, as well as from industry published survey data. FW Cook concluded that base salaries for the NEOs are within a competitive range of the market median (within +/-15%) for the survey data. Various factors such as experience, depth of responsibility, tenure, internal equity, and performance may drive variances to market. The Compensation Committee considered the following prior to setting base salaries for 2025: results of the market assessment performed by FW Cook; functional role of the position; scope of the individual’s responsibilities; prior year’s performance; internal equity and competitive nature of our business. For 2025, on average, base salaries for the NEOs increased by approximately 5% over their respective base salaries established for the prior year.</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Incentive Award. </w:t>
      </w:r>
      <w:r>
        <w:rPr>
          <w:rFonts w:ascii="Times New Roman" w:cs="Times New Roman" w:eastAsia="Times New Roman" w:hAnsi="Times New Roman"/>
          <w:sz w:val="18"/>
          <w:szCs w:val="18"/>
          <w:color w:val="auto"/>
        </w:rPr>
        <w:t>Short-term cash incentive compensation is one of two at-risk elements that incentivize NEOs to achieve pre-established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non-financial performance metrics over an annual period. In February 2025, after consideration and approval by the Board, the Compensation Committee granted cash incentive awards to each NEO under the 2015 Cash Plan. Generally, the target cash incentive award opportunity for each NEO is set at an amount that approximates the median prevailing practices of the industry peer group and broader energy industry for comparable positions. The payout opportunity for the cash incentive award ranges from 0% to 200% of the target award and actual payout is based on the achievement of financial and non-financial performance targets at the end of the applicable performance period. The performance period for the 2025 cash incentive award was from January 1, 2025 through December 31, 2025. The financial performance target for the 2025 cash incentive award is based upon a band centered around an EPS target of $5.92 per share. To ensure appropriate goal rigor, the EPS target and maximum goals were set to align with the respective low end and high end of externally reported guidance figures. Each NEO also had established individual goals to determine the extent to which the individual met their non-financial target. For 2025, 80% of the NEOs' individual performance goals were centered around the Company's organizational imperatives - Safety, Team, Service, Improve, and Grow, with the other 20% focused on fostering our values-driven culture. All of our strategic objectives, initiatives, performance goals, and evaluation criteria relate to one or more of these imperatives. The Compensation Committee may use its discretion to adjust a participant’s cash incentive payout amount to take into account certain factors over which participants have no or limited control. The Compensation Committee also reserves the right to consider additional performance criteria for the NEOs related to pursuing strategic or operational opportunities.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shows each NEO's target cash incentive award based on their applicable base salary as of April 1, 2025, weighting for the performance targets, and actual achievement of the performance targets. In February 2026, the Compensation Committee reviewed achievement of each NEO's applicable performance goals and, after consideration and approval by the Board, authorized the cash incentive award payouts reflected below. The payouts comprised between 18% and 23% of each NEO's total direct compensation (with base salary at April 1, 2025) and ranged from approximately 124% to 127% of each NEO’s respective target award opportunity.</w:t>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2025 CASH INCENTIVE AWARD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Weighting for the</w:t>
            </w:r>
          </w:p>
        </w:tc>
        <w:tc>
          <w:tcPr>
            <w:tcW w:w="320" w:type="dxa"/>
            <w:vAlign w:val="bottom"/>
          </w:tcPr>
          <w:p>
            <w:pPr>
              <w:spacing w:after="0"/>
              <w:rPr>
                <w:sz w:val="13"/>
                <w:szCs w:val="13"/>
                <w:color w:val="auto"/>
              </w:rPr>
            </w:pPr>
          </w:p>
        </w:tc>
        <w:tc>
          <w:tcPr>
            <w:tcW w:w="2060" w:type="dxa"/>
            <w:vAlign w:val="bottom"/>
            <w:gridSpan w:val="3"/>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Actual Achievement of</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Reflected in</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2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Award at</w:t>
            </w:r>
          </w:p>
        </w:tc>
        <w:tc>
          <w:tcPr>
            <w:tcW w:w="2040" w:type="dxa"/>
            <w:vAlign w:val="bottom"/>
            <w:gridSpan w:val="3"/>
            <w:vMerge w:val="continue"/>
          </w:tcPr>
          <w:p>
            <w:pPr>
              <w:spacing w:after="0"/>
              <w:rPr>
                <w:sz w:val="11"/>
                <w:szCs w:val="11"/>
                <w:color w:val="auto"/>
              </w:rPr>
            </w:pPr>
          </w:p>
        </w:tc>
        <w:tc>
          <w:tcPr>
            <w:tcW w:w="238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Performance Targets and Associated</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04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Performance Targets</w:t>
            </w:r>
            <w:r>
              <w:rPr>
                <w:rFonts w:ascii="Times New Roman" w:cs="Times New Roman" w:eastAsia="Times New Roman" w:hAnsi="Times New Roman"/>
                <w:sz w:val="9"/>
                <w:szCs w:val="9"/>
                <w:color w:val="auto"/>
              </w:rPr>
              <w:t>(1)</w:t>
            </w:r>
          </w:p>
        </w:tc>
        <w:tc>
          <w:tcPr>
            <w:tcW w:w="320" w:type="dxa"/>
            <w:vAlign w:val="bottom"/>
          </w:tcPr>
          <w:p>
            <w:pPr>
              <w:spacing w:after="0"/>
              <w:rPr>
                <w:sz w:val="10"/>
                <w:szCs w:val="10"/>
                <w:color w:val="auto"/>
              </w:rPr>
            </w:pPr>
          </w:p>
        </w:tc>
        <w:tc>
          <w:tcPr>
            <w:tcW w:w="1160" w:type="dxa"/>
            <w:vAlign w:val="bottom"/>
            <w:gridSpan w:val="2"/>
          </w:tcPr>
          <w:p>
            <w:pPr>
              <w:jc w:val="center"/>
              <w:ind w:left="457"/>
              <w:spacing w:after="0" w:line="122" w:lineRule="exact"/>
              <w:rPr>
                <w:sz w:val="20"/>
                <w:szCs w:val="20"/>
                <w:color w:val="auto"/>
              </w:rPr>
            </w:pPr>
            <w:r>
              <w:rPr>
                <w:rFonts w:ascii="Times New Roman" w:cs="Times New Roman" w:eastAsia="Times New Roman" w:hAnsi="Times New Roman"/>
                <w:sz w:val="11"/>
                <w:szCs w:val="11"/>
                <w:b w:val="1"/>
                <w:bCs w:val="1"/>
                <w:color w:val="auto"/>
              </w:rPr>
              <w:t>Payout</w:t>
            </w:r>
            <w:r>
              <w:rPr>
                <w:rFonts w:ascii="Times New Roman" w:cs="Times New Roman" w:eastAsia="Times New Roman" w:hAnsi="Times New Roman"/>
                <w:sz w:val="14"/>
                <w:szCs w:val="14"/>
                <w:color w:val="auto"/>
                <w:vertAlign w:val="superscript"/>
              </w:rPr>
              <w:t>(1)</w:t>
            </w:r>
          </w:p>
        </w:tc>
        <w:tc>
          <w:tcPr>
            <w:tcW w:w="900" w:type="dxa"/>
            <w:vAlign w:val="bottom"/>
          </w:tcPr>
          <w:p>
            <w:pPr>
              <w:spacing w:after="0"/>
              <w:rPr>
                <w:sz w:val="10"/>
                <w:szCs w:val="10"/>
                <w:color w:val="auto"/>
              </w:rPr>
            </w:pPr>
          </w:p>
        </w:tc>
        <w:tc>
          <w:tcPr>
            <w:tcW w:w="13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Summary</w:t>
            </w:r>
          </w:p>
        </w:tc>
        <w:tc>
          <w:tcPr>
            <w:tcW w:w="0" w:type="dxa"/>
            <w:vAlign w:val="bottom"/>
          </w:tcPr>
          <w:p>
            <w:pPr>
              <w:spacing w:after="0"/>
              <w:rPr>
                <w:sz w:val="1"/>
                <w:szCs w:val="1"/>
                <w:color w:val="auto"/>
              </w:rPr>
            </w:pPr>
          </w:p>
        </w:tc>
      </w:tr>
      <w:tr>
        <w:trPr>
          <w:trHeight w:val="54"/>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NEO</w:t>
            </w:r>
          </w:p>
        </w:tc>
        <w:tc>
          <w:tcPr>
            <w:tcW w:w="102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Base Salary</w:t>
            </w:r>
          </w:p>
        </w:tc>
        <w:tc>
          <w:tcPr>
            <w:tcW w:w="1220" w:type="dxa"/>
            <w:vAlign w:val="bottom"/>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Opportunity</w:t>
            </w:r>
          </w:p>
        </w:tc>
        <w:tc>
          <w:tcPr>
            <w:tcW w:w="1260" w:type="dxa"/>
            <w:vAlign w:val="bottom"/>
            <w:vMerge w:val="restart"/>
          </w:tcPr>
          <w:p>
            <w:pPr>
              <w:jc w:val="center"/>
              <w:ind w:right="60"/>
              <w:spacing w:after="0" w:line="108" w:lineRule="exact"/>
              <w:rPr>
                <w:sz w:val="20"/>
                <w:szCs w:val="20"/>
                <w:color w:val="auto"/>
              </w:rPr>
            </w:pPr>
            <w:r>
              <w:rPr>
                <w:rFonts w:ascii="Times New Roman" w:cs="Times New Roman" w:eastAsia="Times New Roman" w:hAnsi="Times New Roman"/>
                <w:sz w:val="12"/>
                <w:szCs w:val="12"/>
                <w:b w:val="1"/>
                <w:bCs w:val="1"/>
                <w:color w:val="auto"/>
              </w:rPr>
              <w:t>Target</w:t>
            </w:r>
          </w:p>
        </w:tc>
        <w:tc>
          <w:tcPr>
            <w:tcW w:w="960" w:type="dxa"/>
            <w:vAlign w:val="bottom"/>
            <w:tcBorders>
              <w:bottom w:val="single" w:sz="8" w:color="DDDDDD"/>
            </w:tcBorders>
          </w:tcPr>
          <w:p>
            <w:pPr>
              <w:spacing w:after="0"/>
              <w:rPr>
                <w:sz w:val="4"/>
                <w:szCs w:val="4"/>
                <w:color w:val="auto"/>
              </w:rPr>
            </w:pPr>
          </w:p>
        </w:tc>
        <w:tc>
          <w:tcPr>
            <w:tcW w:w="840" w:type="dxa"/>
            <w:vAlign w:val="bottom"/>
            <w:tcBorders>
              <w:bottom w:val="single" w:sz="8" w:color="DDDDDD"/>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DDDDDD"/>
            </w:tcBorders>
          </w:tcPr>
          <w:p>
            <w:pPr>
              <w:spacing w:after="0"/>
              <w:rPr>
                <w:sz w:val="4"/>
                <w:szCs w:val="4"/>
                <w:color w:val="auto"/>
              </w:rPr>
            </w:pPr>
          </w:p>
        </w:tc>
        <w:tc>
          <w:tcPr>
            <w:tcW w:w="880" w:type="dxa"/>
            <w:vAlign w:val="bottom"/>
            <w:tcBorders>
              <w:bottom w:val="single" w:sz="8" w:color="DDDDDD"/>
            </w:tcBorders>
          </w:tcPr>
          <w:p>
            <w:pPr>
              <w:spacing w:after="0"/>
              <w:rPr>
                <w:sz w:val="4"/>
                <w:szCs w:val="4"/>
                <w:color w:val="auto"/>
              </w:rPr>
            </w:pPr>
          </w:p>
        </w:tc>
        <w:tc>
          <w:tcPr>
            <w:tcW w:w="280" w:type="dxa"/>
            <w:vAlign w:val="bottom"/>
            <w:tcBorders>
              <w:bottom w:val="single" w:sz="8" w:color="DDDDDD"/>
            </w:tcBorders>
          </w:tcPr>
          <w:p>
            <w:pPr>
              <w:spacing w:after="0"/>
              <w:rPr>
                <w:sz w:val="4"/>
                <w:szCs w:val="4"/>
                <w:color w:val="auto"/>
              </w:rPr>
            </w:pPr>
          </w:p>
        </w:tc>
        <w:tc>
          <w:tcPr>
            <w:tcW w:w="900" w:type="dxa"/>
            <w:vAlign w:val="bottom"/>
            <w:tcBorders>
              <w:bottom w:val="single" w:sz="8" w:color="DDDDDD"/>
            </w:tcBorders>
          </w:tcPr>
          <w:p>
            <w:pPr>
              <w:spacing w:after="0"/>
              <w:rPr>
                <w:sz w:val="4"/>
                <w:szCs w:val="4"/>
                <w:color w:val="auto"/>
              </w:rPr>
            </w:pPr>
          </w:p>
        </w:tc>
        <w:tc>
          <w:tcPr>
            <w:tcW w:w="138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0" w:type="dxa"/>
            <w:vAlign w:val="bottom"/>
          </w:tcPr>
          <w:p>
            <w:pPr>
              <w:spacing w:after="0"/>
              <w:rPr>
                <w:sz w:val="1"/>
                <w:szCs w:val="1"/>
                <w:color w:val="auto"/>
              </w:rPr>
            </w:pPr>
          </w:p>
        </w:tc>
      </w:tr>
      <w:tr>
        <w:trPr>
          <w:trHeight w:val="34"/>
        </w:trPr>
        <w:tc>
          <w:tcPr>
            <w:tcW w:w="184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Non-Financial</w:t>
            </w: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color w:val="auto"/>
                <w:w w:val="98"/>
              </w:rPr>
              <w:t>Financial</w:t>
            </w:r>
          </w:p>
        </w:tc>
        <w:tc>
          <w:tcPr>
            <w:tcW w:w="120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12"/>
                <w:szCs w:val="12"/>
                <w:color w:val="auto"/>
              </w:rPr>
              <w:t>Non-Financial</w:t>
            </w:r>
          </w:p>
        </w:tc>
        <w:tc>
          <w:tcPr>
            <w:tcW w:w="280" w:type="dxa"/>
            <w:vAlign w:val="bottom"/>
          </w:tcPr>
          <w:p>
            <w:pPr>
              <w:spacing w:after="0"/>
              <w:rPr>
                <w:sz w:val="2"/>
                <w:szCs w:val="2"/>
                <w:color w:val="auto"/>
              </w:rPr>
            </w:pPr>
          </w:p>
        </w:tc>
        <w:tc>
          <w:tcPr>
            <w:tcW w:w="900" w:type="dxa"/>
            <w:vAlign w:val="bottom"/>
            <w:vMerge w:val="restart"/>
          </w:tcPr>
          <w:p>
            <w:pPr>
              <w:jc w:val="right"/>
              <w:ind w:right="375"/>
              <w:spacing w:after="0"/>
              <w:rPr>
                <w:sz w:val="20"/>
                <w:szCs w:val="20"/>
                <w:color w:val="auto"/>
              </w:rPr>
            </w:pPr>
            <w:r>
              <w:rPr>
                <w:rFonts w:ascii="Times New Roman" w:cs="Times New Roman" w:eastAsia="Times New Roman" w:hAnsi="Times New Roman"/>
                <w:sz w:val="12"/>
                <w:szCs w:val="12"/>
                <w:color w:val="auto"/>
                <w:w w:val="93"/>
              </w:rPr>
              <w:t>Financial</w:t>
            </w: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40" w:type="dxa"/>
            <w:vAlign w:val="bottom"/>
            <w:vMerge w:val="continue"/>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(at 4/1/2025)</w:t>
            </w: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1"/>
                <w:szCs w:val="11"/>
                <w:color w:val="auto"/>
                <w:w w:val="98"/>
              </w:rPr>
              <w:t>(% of Base Salary)</w:t>
            </w: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11"/>
                <w:szCs w:val="11"/>
                <w:color w:val="auto"/>
                <w:w w:val="96"/>
              </w:rPr>
              <w:t>(100%)</w:t>
            </w:r>
          </w:p>
        </w:tc>
        <w:tc>
          <w:tcPr>
            <w:tcW w:w="9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Table</w:t>
            </w:r>
            <w:r>
              <w:rPr>
                <w:rFonts w:ascii="Times New Roman" w:cs="Times New Roman" w:eastAsia="Times New Roman" w:hAnsi="Times New Roman"/>
                <w:sz w:val="17"/>
                <w:szCs w:val="17"/>
                <w:color w:val="auto"/>
                <w:w w:val="92"/>
                <w:vertAlign w:val="superscript"/>
              </w:rPr>
              <w:t>(2)</w:t>
            </w:r>
          </w:p>
        </w:tc>
        <w:tc>
          <w:tcPr>
            <w:tcW w:w="0" w:type="dxa"/>
            <w:vAlign w:val="bottom"/>
          </w:tcPr>
          <w:p>
            <w:pPr>
              <w:spacing w:after="0"/>
              <w:rPr>
                <w:sz w:val="1"/>
                <w:szCs w:val="1"/>
                <w:color w:val="auto"/>
              </w:rPr>
            </w:pPr>
          </w:p>
        </w:tc>
      </w:tr>
      <w:tr>
        <w:trPr>
          <w:trHeight w:val="237"/>
        </w:trPr>
        <w:tc>
          <w:tcPr>
            <w:tcW w:w="18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1020" w:type="dxa"/>
            <w:vAlign w:val="bottom"/>
            <w:tcBorders>
              <w:top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rPr>
              <w:t>$880,000</w:t>
            </w:r>
          </w:p>
        </w:tc>
        <w:tc>
          <w:tcPr>
            <w:tcW w:w="1220" w:type="dxa"/>
            <w:vAlign w:val="bottom"/>
            <w:tcBorders>
              <w:top w:val="single" w:sz="8" w:color="B6B6B6"/>
            </w:tcBorders>
          </w:tcPr>
          <w:p>
            <w:pPr>
              <w:jc w:val="center"/>
              <w:ind w:right="80"/>
              <w:spacing w:after="0"/>
              <w:rPr>
                <w:sz w:val="20"/>
                <w:szCs w:val="20"/>
                <w:color w:val="auto"/>
              </w:rPr>
            </w:pPr>
            <w:r>
              <w:rPr>
                <w:rFonts w:ascii="Times New Roman" w:cs="Times New Roman" w:eastAsia="Times New Roman" w:hAnsi="Times New Roman"/>
                <w:sz w:val="18"/>
                <w:szCs w:val="18"/>
                <w:color w:val="auto"/>
                <w:w w:val="99"/>
              </w:rPr>
              <w:t>100%</w:t>
            </w:r>
          </w:p>
        </w:tc>
        <w:tc>
          <w:tcPr>
            <w:tcW w:w="1260" w:type="dxa"/>
            <w:vAlign w:val="bottom"/>
            <w:tcBorders>
              <w:top w:val="single" w:sz="8" w:color="B6B6B6"/>
              <w:right w:val="single" w:sz="8" w:color="DBDBDB"/>
            </w:tcBorders>
          </w:tcPr>
          <w:p>
            <w:pPr>
              <w:jc w:val="right"/>
              <w:ind w:right="180"/>
              <w:spacing w:after="0"/>
              <w:rPr>
                <w:sz w:val="20"/>
                <w:szCs w:val="20"/>
                <w:color w:val="auto"/>
              </w:rPr>
            </w:pPr>
            <w:r>
              <w:rPr>
                <w:rFonts w:ascii="Times New Roman" w:cs="Times New Roman" w:eastAsia="Times New Roman" w:hAnsi="Times New Roman"/>
                <w:sz w:val="18"/>
                <w:szCs w:val="18"/>
                <w:color w:val="auto"/>
              </w:rPr>
              <w:t>$880,000</w:t>
            </w:r>
          </w:p>
        </w:tc>
        <w:tc>
          <w:tcPr>
            <w:tcW w:w="960" w:type="dxa"/>
            <w:vAlign w:val="bottom"/>
            <w:tcBorders>
              <w:top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Borders>
              <w:top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40" w:type="dxa"/>
            <w:vAlign w:val="bottom"/>
            <w:tcBorders>
              <w:top w:val="single" w:sz="8" w:color="ADADAD"/>
              <w:right w:val="single" w:sz="8" w:color="ECECEC"/>
            </w:tcBorders>
          </w:tcPr>
          <w:p>
            <w:pPr>
              <w:spacing w:after="0"/>
              <w:rPr>
                <w:sz w:val="20"/>
                <w:szCs w:val="20"/>
                <w:color w:val="auto"/>
              </w:rPr>
            </w:pPr>
          </w:p>
        </w:tc>
        <w:tc>
          <w:tcPr>
            <w:tcW w:w="320" w:type="dxa"/>
            <w:vAlign w:val="bottom"/>
            <w:tcBorders>
              <w:top w:val="single" w:sz="8" w:color="B6B6B6"/>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B6B6B6"/>
            </w:tcBorders>
          </w:tcPr>
          <w:p>
            <w:pPr>
              <w:jc w:val="right"/>
              <w:ind w:right="97"/>
              <w:spacing w:after="0"/>
              <w:rPr>
                <w:sz w:val="20"/>
                <w:szCs w:val="20"/>
                <w:color w:val="auto"/>
              </w:rPr>
            </w:pPr>
            <w:r>
              <w:rPr>
                <w:rFonts w:ascii="Times New Roman" w:cs="Times New Roman" w:eastAsia="Times New Roman" w:hAnsi="Times New Roman"/>
                <w:sz w:val="18"/>
                <w:szCs w:val="18"/>
                <w:color w:val="auto"/>
              </w:rPr>
              <w:t>238,983</w:t>
            </w:r>
          </w:p>
        </w:tc>
        <w:tc>
          <w:tcPr>
            <w:tcW w:w="28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B6B6B6"/>
              <w:right w:val="single" w:sz="8" w:color="ECECEC"/>
            </w:tcBorders>
          </w:tcPr>
          <w:p>
            <w:pPr>
              <w:jc w:val="right"/>
              <w:spacing w:after="0"/>
              <w:rPr>
                <w:sz w:val="20"/>
                <w:szCs w:val="20"/>
                <w:color w:val="auto"/>
              </w:rPr>
            </w:pPr>
            <w:r>
              <w:rPr>
                <w:rFonts w:ascii="Times New Roman" w:cs="Times New Roman" w:eastAsia="Times New Roman" w:hAnsi="Times New Roman"/>
                <w:sz w:val="18"/>
                <w:szCs w:val="18"/>
                <w:color w:val="auto"/>
              </w:rPr>
              <w:t>858,880</w:t>
            </w:r>
          </w:p>
        </w:tc>
        <w:tc>
          <w:tcPr>
            <w:tcW w:w="1380" w:type="dxa"/>
            <w:vAlign w:val="bottom"/>
            <w:tcBorders>
              <w:top w:val="single" w:sz="8" w:color="ADADAD"/>
            </w:tcBorders>
          </w:tcPr>
          <w:p>
            <w:pPr>
              <w:jc w:val="center"/>
              <w:spacing w:after="0"/>
              <w:rPr>
                <w:sz w:val="20"/>
                <w:szCs w:val="20"/>
                <w:color w:val="auto"/>
              </w:rPr>
            </w:pPr>
            <w:r>
              <w:rPr>
                <w:rFonts w:ascii="Times New Roman" w:cs="Times New Roman" w:eastAsia="Times New Roman" w:hAnsi="Times New Roman"/>
                <w:sz w:val="18"/>
                <w:szCs w:val="18"/>
                <w:color w:val="auto"/>
              </w:rPr>
              <w:t>$1,097,863</w:t>
            </w:r>
          </w:p>
        </w:tc>
        <w:tc>
          <w:tcPr>
            <w:tcW w:w="0" w:type="dxa"/>
            <w:vAlign w:val="bottom"/>
          </w:tcPr>
          <w:p>
            <w:pPr>
              <w:spacing w:after="0"/>
              <w:rPr>
                <w:sz w:val="1"/>
                <w:szCs w:val="1"/>
                <w:color w:val="auto"/>
              </w:rPr>
            </w:pPr>
          </w:p>
        </w:tc>
      </w:tr>
      <w:tr>
        <w:trPr>
          <w:trHeight w:val="27"/>
        </w:trPr>
        <w:tc>
          <w:tcPr>
            <w:tcW w:w="184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12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DBDBDB"/>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240" w:type="dxa"/>
            <w:vAlign w:val="bottom"/>
            <w:tcBorders>
              <w:bottom w:val="single" w:sz="8" w:color="DDDDDD"/>
              <w:right w:val="single" w:sz="8" w:color="ECECEC"/>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80" w:type="dxa"/>
            <w:vAlign w:val="bottom"/>
            <w:tcBorders>
              <w:bottom w:val="single" w:sz="8" w:color="DDDDDD"/>
            </w:tcBorders>
          </w:tcPr>
          <w:p>
            <w:pPr>
              <w:spacing w:after="0"/>
              <w:rPr>
                <w:sz w:val="2"/>
                <w:szCs w:val="2"/>
                <w:color w:val="auto"/>
              </w:rPr>
            </w:pPr>
          </w:p>
        </w:tc>
        <w:tc>
          <w:tcPr>
            <w:tcW w:w="280" w:type="dxa"/>
            <w:vAlign w:val="bottom"/>
            <w:tcBorders>
              <w:bottom w:val="single" w:sz="8" w:color="DDDDDD"/>
            </w:tcBorders>
          </w:tcPr>
          <w:p>
            <w:pPr>
              <w:spacing w:after="0"/>
              <w:rPr>
                <w:sz w:val="2"/>
                <w:szCs w:val="2"/>
                <w:color w:val="auto"/>
              </w:rPr>
            </w:pPr>
          </w:p>
        </w:tc>
        <w:tc>
          <w:tcPr>
            <w:tcW w:w="900" w:type="dxa"/>
            <w:vAlign w:val="bottom"/>
            <w:tcBorders>
              <w:bottom w:val="single" w:sz="8" w:color="DDDDDD"/>
              <w:right w:val="single" w:sz="8" w:color="ECECEC"/>
            </w:tcBorders>
          </w:tcPr>
          <w:p>
            <w:pPr>
              <w:spacing w:after="0"/>
              <w:rPr>
                <w:sz w:val="2"/>
                <w:szCs w:val="2"/>
                <w:color w:val="auto"/>
              </w:rPr>
            </w:pPr>
          </w:p>
        </w:tc>
        <w:tc>
          <w:tcPr>
            <w:tcW w:w="13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$515,000</w:t>
            </w: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8"/>
                <w:szCs w:val="18"/>
                <w:color w:val="auto"/>
                <w:w w:val="96"/>
              </w:rPr>
              <w:t>55%</w:t>
            </w:r>
          </w:p>
        </w:tc>
        <w:tc>
          <w:tcPr>
            <w:tcW w:w="1260" w:type="dxa"/>
            <w:vAlign w:val="bottom"/>
            <w:tcBorders>
              <w:right w:val="single" w:sz="8" w:color="DBDBDB"/>
            </w:tcBorders>
          </w:tcPr>
          <w:p>
            <w:pPr>
              <w:jc w:val="right"/>
              <w:ind w:right="180"/>
              <w:spacing w:after="0"/>
              <w:rPr>
                <w:sz w:val="20"/>
                <w:szCs w:val="20"/>
                <w:color w:val="auto"/>
              </w:rPr>
            </w:pPr>
            <w:r>
              <w:rPr>
                <w:rFonts w:ascii="Times New Roman" w:cs="Times New Roman" w:eastAsia="Times New Roman" w:hAnsi="Times New Roman"/>
                <w:sz w:val="18"/>
                <w:szCs w:val="18"/>
                <w:color w:val="auto"/>
              </w:rPr>
              <w:t>$283,250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40" w:type="dxa"/>
            <w:vAlign w:val="bottom"/>
            <w:tcBorders>
              <w:right w:val="single" w:sz="8" w:color="ECECEC"/>
            </w:tcBorders>
          </w:tcPr>
          <w:p>
            <w:pPr>
              <w:spacing w:after="0"/>
              <w:rPr>
                <w:sz w:val="20"/>
                <w:szCs w:val="20"/>
                <w:color w:val="auto"/>
              </w:rPr>
            </w:pP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76,923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ECECEC"/>
            </w:tcBorders>
          </w:tcPr>
          <w:p>
            <w:pPr>
              <w:jc w:val="right"/>
              <w:spacing w:after="0"/>
              <w:rPr>
                <w:sz w:val="20"/>
                <w:szCs w:val="20"/>
                <w:color w:val="auto"/>
              </w:rPr>
            </w:pPr>
            <w:r>
              <w:rPr>
                <w:rFonts w:ascii="Times New Roman" w:cs="Times New Roman" w:eastAsia="Times New Roman" w:hAnsi="Times New Roman"/>
                <w:sz w:val="18"/>
                <w:szCs w:val="18"/>
                <w:color w:val="auto"/>
              </w:rPr>
              <w:t>276,452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$353,375</w:t>
            </w:r>
          </w:p>
        </w:tc>
        <w:tc>
          <w:tcPr>
            <w:tcW w:w="0" w:type="dxa"/>
            <w:vAlign w:val="bottom"/>
          </w:tcPr>
          <w:p>
            <w:pPr>
              <w:spacing w:after="0"/>
              <w:rPr>
                <w:sz w:val="1"/>
                <w:szCs w:val="1"/>
                <w:color w:val="auto"/>
              </w:rPr>
            </w:pPr>
          </w:p>
        </w:tc>
      </w:tr>
      <w:tr>
        <w:trPr>
          <w:trHeight w:val="27"/>
        </w:trPr>
        <w:tc>
          <w:tcPr>
            <w:tcW w:w="184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12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DBDBDB"/>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240" w:type="dxa"/>
            <w:vAlign w:val="bottom"/>
            <w:tcBorders>
              <w:bottom w:val="single" w:sz="8" w:color="DDDDDD"/>
              <w:right w:val="single" w:sz="8" w:color="ECECEC"/>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80" w:type="dxa"/>
            <w:vAlign w:val="bottom"/>
            <w:tcBorders>
              <w:bottom w:val="single" w:sz="8" w:color="DDDDDD"/>
            </w:tcBorders>
          </w:tcPr>
          <w:p>
            <w:pPr>
              <w:spacing w:after="0"/>
              <w:rPr>
                <w:sz w:val="2"/>
                <w:szCs w:val="2"/>
                <w:color w:val="auto"/>
              </w:rPr>
            </w:pPr>
          </w:p>
        </w:tc>
        <w:tc>
          <w:tcPr>
            <w:tcW w:w="280" w:type="dxa"/>
            <w:vAlign w:val="bottom"/>
            <w:tcBorders>
              <w:bottom w:val="single" w:sz="8" w:color="DDDDDD"/>
            </w:tcBorders>
          </w:tcPr>
          <w:p>
            <w:pPr>
              <w:spacing w:after="0"/>
              <w:rPr>
                <w:sz w:val="2"/>
                <w:szCs w:val="2"/>
                <w:color w:val="auto"/>
              </w:rPr>
            </w:pPr>
          </w:p>
        </w:tc>
        <w:tc>
          <w:tcPr>
            <w:tcW w:w="900" w:type="dxa"/>
            <w:vAlign w:val="bottom"/>
            <w:tcBorders>
              <w:bottom w:val="single" w:sz="8" w:color="DDDDDD"/>
              <w:right w:val="single" w:sz="8" w:color="ECECEC"/>
            </w:tcBorders>
          </w:tcPr>
          <w:p>
            <w:pPr>
              <w:spacing w:after="0"/>
              <w:rPr>
                <w:sz w:val="2"/>
                <w:szCs w:val="2"/>
                <w:color w:val="auto"/>
              </w:rPr>
            </w:pPr>
          </w:p>
        </w:tc>
        <w:tc>
          <w:tcPr>
            <w:tcW w:w="13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$485,000</w:t>
            </w: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8"/>
                <w:szCs w:val="18"/>
                <w:color w:val="auto"/>
                <w:w w:val="96"/>
              </w:rPr>
              <w:t>55%</w:t>
            </w:r>
          </w:p>
        </w:tc>
        <w:tc>
          <w:tcPr>
            <w:tcW w:w="1260" w:type="dxa"/>
            <w:vAlign w:val="bottom"/>
            <w:tcBorders>
              <w:right w:val="single" w:sz="8" w:color="DBDBDB"/>
            </w:tcBorders>
          </w:tcPr>
          <w:p>
            <w:pPr>
              <w:jc w:val="right"/>
              <w:ind w:right="180"/>
              <w:spacing w:after="0"/>
              <w:rPr>
                <w:sz w:val="20"/>
                <w:szCs w:val="20"/>
                <w:color w:val="auto"/>
              </w:rPr>
            </w:pPr>
            <w:r>
              <w:rPr>
                <w:rFonts w:ascii="Times New Roman" w:cs="Times New Roman" w:eastAsia="Times New Roman" w:hAnsi="Times New Roman"/>
                <w:sz w:val="18"/>
                <w:szCs w:val="18"/>
                <w:color w:val="auto"/>
              </w:rPr>
              <w:t>$266,750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40" w:type="dxa"/>
            <w:vAlign w:val="bottom"/>
            <w:tcBorders>
              <w:right w:val="single" w:sz="8" w:color="ECECEC"/>
            </w:tcBorders>
          </w:tcPr>
          <w:p>
            <w:pPr>
              <w:spacing w:after="0"/>
              <w:rPr>
                <w:sz w:val="20"/>
                <w:szCs w:val="20"/>
                <w:color w:val="auto"/>
              </w:rPr>
            </w:pP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72,442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ECECEC"/>
            </w:tcBorders>
          </w:tcPr>
          <w:p>
            <w:pPr>
              <w:jc w:val="right"/>
              <w:spacing w:after="0"/>
              <w:rPr>
                <w:sz w:val="20"/>
                <w:szCs w:val="20"/>
                <w:color w:val="auto"/>
              </w:rPr>
            </w:pPr>
            <w:r>
              <w:rPr>
                <w:rFonts w:ascii="Times New Roman" w:cs="Times New Roman" w:eastAsia="Times New Roman" w:hAnsi="Times New Roman"/>
                <w:sz w:val="18"/>
                <w:szCs w:val="18"/>
                <w:color w:val="auto"/>
              </w:rPr>
              <w:t>260,348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$332,790</w:t>
            </w:r>
          </w:p>
        </w:tc>
        <w:tc>
          <w:tcPr>
            <w:tcW w:w="0" w:type="dxa"/>
            <w:vAlign w:val="bottom"/>
          </w:tcPr>
          <w:p>
            <w:pPr>
              <w:spacing w:after="0"/>
              <w:rPr>
                <w:sz w:val="1"/>
                <w:szCs w:val="1"/>
                <w:color w:val="auto"/>
              </w:rPr>
            </w:pPr>
          </w:p>
        </w:tc>
      </w:tr>
      <w:tr>
        <w:trPr>
          <w:trHeight w:val="27"/>
        </w:trPr>
        <w:tc>
          <w:tcPr>
            <w:tcW w:w="184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12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DBDBDB"/>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240" w:type="dxa"/>
            <w:vAlign w:val="bottom"/>
            <w:tcBorders>
              <w:bottom w:val="single" w:sz="8" w:color="DDDDDD"/>
              <w:right w:val="single" w:sz="8" w:color="ECECEC"/>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80" w:type="dxa"/>
            <w:vAlign w:val="bottom"/>
            <w:tcBorders>
              <w:bottom w:val="single" w:sz="8" w:color="DDDDDD"/>
            </w:tcBorders>
          </w:tcPr>
          <w:p>
            <w:pPr>
              <w:spacing w:after="0"/>
              <w:rPr>
                <w:sz w:val="2"/>
                <w:szCs w:val="2"/>
                <w:color w:val="auto"/>
              </w:rPr>
            </w:pPr>
          </w:p>
        </w:tc>
        <w:tc>
          <w:tcPr>
            <w:tcW w:w="280" w:type="dxa"/>
            <w:vAlign w:val="bottom"/>
            <w:tcBorders>
              <w:bottom w:val="single" w:sz="8" w:color="DDDDDD"/>
            </w:tcBorders>
          </w:tcPr>
          <w:p>
            <w:pPr>
              <w:spacing w:after="0"/>
              <w:rPr>
                <w:sz w:val="2"/>
                <w:szCs w:val="2"/>
                <w:color w:val="auto"/>
              </w:rPr>
            </w:pPr>
          </w:p>
        </w:tc>
        <w:tc>
          <w:tcPr>
            <w:tcW w:w="900" w:type="dxa"/>
            <w:vAlign w:val="bottom"/>
            <w:tcBorders>
              <w:bottom w:val="single" w:sz="8" w:color="DDDDDD"/>
              <w:right w:val="single" w:sz="8" w:color="ECECEC"/>
            </w:tcBorders>
          </w:tcPr>
          <w:p>
            <w:pPr>
              <w:spacing w:after="0"/>
              <w:rPr>
                <w:sz w:val="2"/>
                <w:szCs w:val="2"/>
                <w:color w:val="auto"/>
              </w:rPr>
            </w:pPr>
          </w:p>
        </w:tc>
        <w:tc>
          <w:tcPr>
            <w:tcW w:w="13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$475,000</w:t>
            </w: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8"/>
                <w:szCs w:val="18"/>
                <w:color w:val="auto"/>
                <w:w w:val="96"/>
              </w:rPr>
              <w:t>50%</w:t>
            </w:r>
          </w:p>
        </w:tc>
        <w:tc>
          <w:tcPr>
            <w:tcW w:w="1260" w:type="dxa"/>
            <w:vAlign w:val="bottom"/>
            <w:tcBorders>
              <w:right w:val="single" w:sz="8" w:color="DBDBDB"/>
            </w:tcBorders>
          </w:tcPr>
          <w:p>
            <w:pPr>
              <w:jc w:val="right"/>
              <w:ind w:right="180"/>
              <w:spacing w:after="0"/>
              <w:rPr>
                <w:sz w:val="20"/>
                <w:szCs w:val="20"/>
                <w:color w:val="auto"/>
              </w:rPr>
            </w:pPr>
            <w:r>
              <w:rPr>
                <w:rFonts w:ascii="Times New Roman" w:cs="Times New Roman" w:eastAsia="Times New Roman" w:hAnsi="Times New Roman"/>
                <w:sz w:val="18"/>
                <w:szCs w:val="18"/>
                <w:color w:val="auto"/>
              </w:rPr>
              <w:t>$237,500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40" w:type="dxa"/>
            <w:vAlign w:val="bottom"/>
            <w:tcBorders>
              <w:right w:val="single" w:sz="8" w:color="ECECEC"/>
            </w:tcBorders>
          </w:tcPr>
          <w:p>
            <w:pPr>
              <w:spacing w:after="0"/>
              <w:rPr>
                <w:sz w:val="20"/>
                <w:szCs w:val="20"/>
                <w:color w:val="auto"/>
              </w:rPr>
            </w:pP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70,989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ECECEC"/>
            </w:tcBorders>
          </w:tcPr>
          <w:p>
            <w:pPr>
              <w:jc w:val="right"/>
              <w:spacing w:after="0"/>
              <w:rPr>
                <w:sz w:val="20"/>
                <w:szCs w:val="20"/>
                <w:color w:val="auto"/>
              </w:rPr>
            </w:pPr>
            <w:r>
              <w:rPr>
                <w:rFonts w:ascii="Times New Roman" w:cs="Times New Roman" w:eastAsia="Times New Roman" w:hAnsi="Times New Roman"/>
                <w:sz w:val="18"/>
                <w:szCs w:val="18"/>
                <w:color w:val="auto"/>
              </w:rPr>
              <w:t>231,800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$302,789</w:t>
            </w:r>
          </w:p>
        </w:tc>
        <w:tc>
          <w:tcPr>
            <w:tcW w:w="0" w:type="dxa"/>
            <w:vAlign w:val="bottom"/>
          </w:tcPr>
          <w:p>
            <w:pPr>
              <w:spacing w:after="0"/>
              <w:rPr>
                <w:sz w:val="1"/>
                <w:szCs w:val="1"/>
                <w:color w:val="auto"/>
              </w:rPr>
            </w:pPr>
          </w:p>
        </w:tc>
      </w:tr>
      <w:tr>
        <w:trPr>
          <w:trHeight w:val="27"/>
        </w:trPr>
        <w:tc>
          <w:tcPr>
            <w:tcW w:w="184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12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DBDBDB"/>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240" w:type="dxa"/>
            <w:vAlign w:val="bottom"/>
            <w:tcBorders>
              <w:bottom w:val="single" w:sz="8" w:color="DDDDDD"/>
              <w:right w:val="single" w:sz="8" w:color="ECECEC"/>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80" w:type="dxa"/>
            <w:vAlign w:val="bottom"/>
            <w:tcBorders>
              <w:bottom w:val="single" w:sz="8" w:color="DDDDDD"/>
            </w:tcBorders>
          </w:tcPr>
          <w:p>
            <w:pPr>
              <w:spacing w:after="0"/>
              <w:rPr>
                <w:sz w:val="2"/>
                <w:szCs w:val="2"/>
                <w:color w:val="auto"/>
              </w:rPr>
            </w:pPr>
          </w:p>
        </w:tc>
        <w:tc>
          <w:tcPr>
            <w:tcW w:w="280" w:type="dxa"/>
            <w:vAlign w:val="bottom"/>
            <w:tcBorders>
              <w:bottom w:val="single" w:sz="8" w:color="DDDDDD"/>
            </w:tcBorders>
          </w:tcPr>
          <w:p>
            <w:pPr>
              <w:spacing w:after="0"/>
              <w:rPr>
                <w:sz w:val="2"/>
                <w:szCs w:val="2"/>
                <w:color w:val="auto"/>
              </w:rPr>
            </w:pPr>
          </w:p>
        </w:tc>
        <w:tc>
          <w:tcPr>
            <w:tcW w:w="900" w:type="dxa"/>
            <w:vAlign w:val="bottom"/>
            <w:tcBorders>
              <w:bottom w:val="single" w:sz="8" w:color="DDDDDD"/>
              <w:right w:val="single" w:sz="8" w:color="ECECEC"/>
            </w:tcBorders>
          </w:tcPr>
          <w:p>
            <w:pPr>
              <w:spacing w:after="0"/>
              <w:rPr>
                <w:sz w:val="2"/>
                <w:szCs w:val="2"/>
                <w:color w:val="auto"/>
              </w:rPr>
            </w:pPr>
          </w:p>
        </w:tc>
        <w:tc>
          <w:tcPr>
            <w:tcW w:w="13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$368,000</w:t>
            </w: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8"/>
                <w:szCs w:val="18"/>
                <w:color w:val="auto"/>
                <w:w w:val="96"/>
              </w:rPr>
              <w:t>50%</w:t>
            </w:r>
          </w:p>
        </w:tc>
        <w:tc>
          <w:tcPr>
            <w:tcW w:w="1260" w:type="dxa"/>
            <w:vAlign w:val="bottom"/>
            <w:tcBorders>
              <w:right w:val="single" w:sz="8" w:color="DBDBDB"/>
            </w:tcBorders>
          </w:tcPr>
          <w:p>
            <w:pPr>
              <w:jc w:val="right"/>
              <w:ind w:right="180"/>
              <w:spacing w:after="0"/>
              <w:rPr>
                <w:sz w:val="20"/>
                <w:szCs w:val="20"/>
                <w:color w:val="auto"/>
              </w:rPr>
            </w:pPr>
            <w:r>
              <w:rPr>
                <w:rFonts w:ascii="Times New Roman" w:cs="Times New Roman" w:eastAsia="Times New Roman" w:hAnsi="Times New Roman"/>
                <w:sz w:val="18"/>
                <w:szCs w:val="18"/>
                <w:color w:val="auto"/>
              </w:rPr>
              <w:t>$184,000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40" w:type="dxa"/>
            <w:vAlign w:val="bottom"/>
            <w:tcBorders>
              <w:right w:val="single" w:sz="8" w:color="ECECEC"/>
            </w:tcBorders>
          </w:tcPr>
          <w:p>
            <w:pPr>
              <w:spacing w:after="0"/>
              <w:rPr>
                <w:sz w:val="20"/>
                <w:szCs w:val="20"/>
                <w:color w:val="auto"/>
              </w:rPr>
            </w:pP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47,724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ECECEC"/>
            </w:tcBorders>
          </w:tcPr>
          <w:p>
            <w:pPr>
              <w:jc w:val="right"/>
              <w:spacing w:after="0"/>
              <w:rPr>
                <w:sz w:val="20"/>
                <w:szCs w:val="20"/>
                <w:color w:val="auto"/>
              </w:rPr>
            </w:pPr>
            <w:r>
              <w:rPr>
                <w:rFonts w:ascii="Times New Roman" w:cs="Times New Roman" w:eastAsia="Times New Roman" w:hAnsi="Times New Roman"/>
                <w:sz w:val="18"/>
                <w:szCs w:val="18"/>
                <w:color w:val="auto"/>
              </w:rPr>
              <w:t>179,584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$227,308</w:t>
            </w:r>
          </w:p>
        </w:tc>
        <w:tc>
          <w:tcPr>
            <w:tcW w:w="0" w:type="dxa"/>
            <w:vAlign w:val="bottom"/>
          </w:tcPr>
          <w:p>
            <w:pPr>
              <w:spacing w:after="0"/>
              <w:rPr>
                <w:sz w:val="1"/>
                <w:szCs w:val="1"/>
                <w:color w:val="auto"/>
              </w:rPr>
            </w:pPr>
          </w:p>
        </w:tc>
      </w:tr>
      <w:tr>
        <w:trPr>
          <w:trHeight w:val="27"/>
        </w:trPr>
        <w:tc>
          <w:tcPr>
            <w:tcW w:w="184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12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DBDBDB"/>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240" w:type="dxa"/>
            <w:vAlign w:val="bottom"/>
            <w:tcBorders>
              <w:bottom w:val="single" w:sz="8" w:color="DDDDDD"/>
              <w:right w:val="single" w:sz="8" w:color="ECECEC"/>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80" w:type="dxa"/>
            <w:vAlign w:val="bottom"/>
            <w:tcBorders>
              <w:bottom w:val="single" w:sz="8" w:color="DDDDDD"/>
            </w:tcBorders>
          </w:tcPr>
          <w:p>
            <w:pPr>
              <w:spacing w:after="0"/>
              <w:rPr>
                <w:sz w:val="2"/>
                <w:szCs w:val="2"/>
                <w:color w:val="auto"/>
              </w:rPr>
            </w:pPr>
          </w:p>
        </w:tc>
        <w:tc>
          <w:tcPr>
            <w:tcW w:w="280" w:type="dxa"/>
            <w:vAlign w:val="bottom"/>
            <w:tcBorders>
              <w:bottom w:val="single" w:sz="8" w:color="DDDDDD"/>
            </w:tcBorders>
          </w:tcPr>
          <w:p>
            <w:pPr>
              <w:spacing w:after="0"/>
              <w:rPr>
                <w:sz w:val="2"/>
                <w:szCs w:val="2"/>
                <w:color w:val="auto"/>
              </w:rPr>
            </w:pPr>
          </w:p>
        </w:tc>
        <w:tc>
          <w:tcPr>
            <w:tcW w:w="900" w:type="dxa"/>
            <w:vAlign w:val="bottom"/>
            <w:tcBorders>
              <w:bottom w:val="single" w:sz="8" w:color="DDDDDD"/>
              <w:right w:val="single" w:sz="8" w:color="ECECEC"/>
            </w:tcBorders>
          </w:tcPr>
          <w:p>
            <w:pPr>
              <w:spacing w:after="0"/>
              <w:rPr>
                <w:sz w:val="2"/>
                <w:szCs w:val="2"/>
                <w:color w:val="auto"/>
              </w:rPr>
            </w:pPr>
          </w:p>
        </w:tc>
        <w:tc>
          <w:tcPr>
            <w:tcW w:w="13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80" w:hanging="72"/>
        <w:spacing w:after="0" w:line="214" w:lineRule="auto"/>
        <w:tabs>
          <w:tab w:leader="none" w:pos="83" w:val="left"/>
        </w:tabs>
        <w:numPr>
          <w:ilvl w:val="0"/>
          <w:numId w:val="3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For the non-financial performance component, each NEO achieved between 106% and 123% of the applicable target. An EPS multiplier of 122% was applied to the achievement of each NEO's financial and non-financial performance components.</w:t>
      </w:r>
    </w:p>
    <w:p>
      <w:pPr>
        <w:ind w:left="100" w:hanging="92"/>
        <w:spacing w:after="0" w:line="222" w:lineRule="auto"/>
        <w:tabs>
          <w:tab w:leader="none" w:pos="100" w:val="left"/>
        </w:tabs>
        <w:numPr>
          <w:ilvl w:val="0"/>
          <w:numId w:val="4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non-equity incentive plan compensation reflected in the Summary Compensation Table represents a payout for the 2025 cash incentive award in the form of cash.</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37" w:name="page38"/>
    <w:bookmarkEnd w:id="37"/>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Incentive Awards. </w:t>
      </w:r>
      <w:r>
        <w:rPr>
          <w:rFonts w:ascii="Times New Roman" w:cs="Times New Roman" w:eastAsia="Times New Roman" w:hAnsi="Times New Roman"/>
          <w:sz w:val="18"/>
          <w:szCs w:val="18"/>
          <w:color w:val="auto"/>
        </w:rPr>
        <w:t>Long-term equity incentive compensation is the second at-risk element that is designed to reward NEOs for 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 value by achieving growth in earnings while investing in the future growth of our businesses. The Compensation Committee is authorized to grant equity incentive awards to NEOs under the 2023 SICP. While the 2023 SICP authorizes the issuance of several types of equity or equity-based awards, the Company’s long-term incentive awards to NEOs have historically been 100% performance-based, featuring annual grants of shares that are awarded if pre-established performance targets are achieved at the end of the performance period (a three-year or transition performance period). The target equity award is a number of shares equivalent to the dollar value based on a percentage of base salary. The actual award earned for each NEO depends on actual performance at the end of the performance period as compared to the performance targets. Awards are granted for each performance period pursuant and subject to the terms of performance share agreements entered into by each NEO and the Company. In accordance with the 2023 SICP, the Compensation Committee has discretion to make adjustments (i) to applicable performance criteria, (ii) to applicable financial or other results achieved, or</w:t>
      </w:r>
    </w:p>
    <w:p>
      <w:pPr>
        <w:spacing w:after="0" w:line="6" w:lineRule="exact"/>
        <w:rPr>
          <w:sz w:val="20"/>
          <w:szCs w:val="20"/>
          <w:color w:val="auto"/>
        </w:rPr>
      </w:pPr>
    </w:p>
    <w:p>
      <w:pPr>
        <w:ind w:right="20" w:firstLine="8"/>
        <w:spacing w:after="0" w:line="276" w:lineRule="auto"/>
        <w:tabs>
          <w:tab w:leader="none" w:pos="3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applicable financial or other results are calculated or evaluated for purposes of determining whether performance criteria were satisfied to account for extraordinary events during or associated with the applicable performance period.</w:t>
      </w:r>
    </w:p>
    <w:p>
      <w:pPr>
        <w:spacing w:after="0" w:line="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2024, the Compensation Committee approved changes to our long-term equity incentive award design to strengthen our alignment with the measures deemed most critical to driving shareholder value creation. The same financial performance measures used in 2023 were retained in 2024 and 2025, but their weightings were adjusted to better align with market practices. The weightings for the Growth in Long-term Earnings and ROE performance components increased from 35% to 50% each. The TSR performance component changed to a +/- 20% modifier beginning with the 2024-2026 award. The weightings and payout opportunities for each performance component used to evaluate the achievement of the equity incentive awards for the 2023-2025 performance period are further described under the </w:t>
      </w:r>
      <w:r>
        <w:rPr>
          <w:rFonts w:ascii="Times New Roman" w:cs="Times New Roman" w:eastAsia="Times New Roman" w:hAnsi="Times New Roman"/>
          <w:sz w:val="18"/>
          <w:szCs w:val="18"/>
          <w:i w:val="1"/>
          <w:iCs w:val="1"/>
          <w:color w:val="auto"/>
        </w:rPr>
        <w:t>Equity Incentive Awards</w:t>
      </w:r>
      <w:r>
        <w:rPr>
          <w:rFonts w:ascii="Times New Roman" w:cs="Times New Roman" w:eastAsia="Times New Roman" w:hAnsi="Times New Roman"/>
          <w:sz w:val="18"/>
          <w:szCs w:val="18"/>
          <w:color w:val="auto"/>
        </w:rPr>
        <w:t xml:space="preserve"> section in the Company's Proxy Statement filed with the SEC on March 26, 2024.</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u w:val="single" w:color="auto"/>
          <w:color w:val="auto"/>
        </w:rPr>
        <w:t>Performance Weighting and Payout Opportunity</w:t>
      </w:r>
      <w:r>
        <w:rPr>
          <w:rFonts w:ascii="Times New Roman" w:cs="Times New Roman" w:eastAsia="Times New Roman" w:hAnsi="Times New Roman"/>
          <w:sz w:val="18"/>
          <w:szCs w:val="18"/>
          <w:color w:val="auto"/>
        </w:rPr>
        <w:t>. The Compensation Committee approved the following performance components in connection with the 2025-2027 equity incentive awards.</w:t>
      </w:r>
    </w:p>
    <w:tbl>
      <w:tblPr>
        <w:tblLayout w:type="fixed"/>
        <w:tblInd w:w="1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000" w:type="dxa"/>
            <w:vAlign w:val="bottom"/>
            <w:gridSpan w:val="5"/>
          </w:tcPr>
          <w:p>
            <w:pPr>
              <w:ind w:left="560"/>
              <w:spacing w:after="0" w:line="184" w:lineRule="exact"/>
              <w:rPr>
                <w:sz w:val="20"/>
                <w:szCs w:val="20"/>
                <w:color w:val="auto"/>
              </w:rPr>
            </w:pPr>
            <w:r>
              <w:rPr>
                <w:rFonts w:ascii="Times New Roman" w:cs="Times New Roman" w:eastAsia="Times New Roman" w:hAnsi="Times New Roman"/>
                <w:sz w:val="18"/>
                <w:szCs w:val="18"/>
                <w:b w:val="1"/>
                <w:bCs w:val="1"/>
                <w:color w:val="auto"/>
              </w:rPr>
              <w:t>Payout Opportunity for</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000" w:type="dxa"/>
            <w:vAlign w:val="bottom"/>
            <w:gridSpan w:val="5"/>
          </w:tcPr>
          <w:p>
            <w:pPr>
              <w:ind w:left="300"/>
              <w:spacing w:after="0" w:line="162" w:lineRule="exact"/>
              <w:rPr>
                <w:sz w:val="20"/>
                <w:szCs w:val="20"/>
                <w:color w:val="auto"/>
              </w:rPr>
            </w:pPr>
            <w:r>
              <w:rPr>
                <w:rFonts w:ascii="Times New Roman" w:cs="Times New Roman" w:eastAsia="Times New Roman" w:hAnsi="Times New Roman"/>
                <w:sz w:val="18"/>
                <w:szCs w:val="18"/>
                <w:b w:val="1"/>
                <w:bCs w:val="1"/>
                <w:color w:val="auto"/>
              </w:rPr>
              <w:t>Each Performance Component</w:t>
            </w:r>
          </w:p>
        </w:tc>
        <w:tc>
          <w:tcPr>
            <w:tcW w:w="0" w:type="dxa"/>
            <w:vAlign w:val="bottom"/>
          </w:tcPr>
          <w:p>
            <w:pPr>
              <w:spacing w:after="0"/>
              <w:rPr>
                <w:sz w:val="1"/>
                <w:szCs w:val="1"/>
                <w:color w:val="auto"/>
              </w:rPr>
            </w:pPr>
          </w:p>
        </w:tc>
      </w:tr>
      <w:tr>
        <w:trPr>
          <w:trHeight w:val="54"/>
        </w:trPr>
        <w:tc>
          <w:tcPr>
            <w:tcW w:w="128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Performance</w:t>
            </w:r>
          </w:p>
        </w:tc>
        <w:tc>
          <w:tcPr>
            <w:tcW w:w="608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7"/>
                <w:szCs w:val="17"/>
                <w:b w:val="1"/>
                <w:bCs w:val="1"/>
                <w:color w:val="auto"/>
              </w:rPr>
              <w:t>Benchmark and</w:t>
            </w:r>
          </w:p>
        </w:tc>
        <w:tc>
          <w:tcPr>
            <w:tcW w:w="9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Target</w:t>
            </w:r>
          </w:p>
        </w:tc>
        <w:tc>
          <w:tcPr>
            <w:tcW w:w="740" w:type="dxa"/>
            <w:vAlign w:val="bottom"/>
            <w:tcBorders>
              <w:bottom w:val="single" w:sz="8" w:color="DDDDDD"/>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800" w:type="dxa"/>
            <w:vAlign w:val="bottom"/>
            <w:tcBorders>
              <w:bottom w:val="single" w:sz="8" w:color="DDDDDD"/>
            </w:tcBorders>
          </w:tcPr>
          <w:p>
            <w:pPr>
              <w:spacing w:after="0"/>
              <w:rPr>
                <w:sz w:val="4"/>
                <w:szCs w:val="4"/>
                <w:color w:val="auto"/>
              </w:rPr>
            </w:pPr>
          </w:p>
        </w:tc>
        <w:tc>
          <w:tcPr>
            <w:tcW w:w="560" w:type="dxa"/>
            <w:vAlign w:val="bottom"/>
            <w:tcBorders>
              <w:bottom w:val="single" w:sz="8" w:color="DDDDDD"/>
            </w:tcBorders>
          </w:tcPr>
          <w:p>
            <w:pPr>
              <w:spacing w:after="0"/>
              <w:rPr>
                <w:sz w:val="4"/>
                <w:szCs w:val="4"/>
                <w:color w:val="auto"/>
              </w:rPr>
            </w:pPr>
          </w:p>
        </w:tc>
        <w:tc>
          <w:tcPr>
            <w:tcW w:w="820" w:type="dxa"/>
            <w:vAlign w:val="bottom"/>
            <w:tcBorders>
              <w:bottom w:val="single" w:sz="8" w:color="DDDDDD"/>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280" w:type="dxa"/>
            <w:vAlign w:val="bottom"/>
            <w:vMerge w:val="continue"/>
          </w:tcPr>
          <w:p>
            <w:pPr>
              <w:spacing w:after="0"/>
              <w:rPr>
                <w:sz w:val="6"/>
                <w:szCs w:val="6"/>
                <w:color w:val="auto"/>
              </w:rPr>
            </w:pPr>
          </w:p>
        </w:tc>
        <w:tc>
          <w:tcPr>
            <w:tcW w:w="60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tcBorders>
              <w:left w:val="single" w:sz="8" w:color="DDDDDD"/>
            </w:tcBorders>
          </w:tcPr>
          <w:p>
            <w:pPr>
              <w:spacing w:after="0"/>
              <w:rPr>
                <w:sz w:val="6"/>
                <w:szCs w:val="6"/>
                <w:color w:val="auto"/>
              </w:rPr>
            </w:pPr>
          </w:p>
        </w:tc>
        <w:tc>
          <w:tcPr>
            <w:tcW w:w="80" w:type="dxa"/>
            <w:vAlign w:val="bottom"/>
            <w:tcBorders>
              <w:right w:val="single" w:sz="8" w:color="DDDDDD"/>
            </w:tcBorders>
          </w:tcPr>
          <w:p>
            <w:pPr>
              <w:spacing w:after="0"/>
              <w:rPr>
                <w:sz w:val="6"/>
                <w:szCs w:val="6"/>
                <w:color w:val="auto"/>
              </w:rPr>
            </w:pPr>
          </w:p>
        </w:tc>
        <w:tc>
          <w:tcPr>
            <w:tcW w:w="800" w:type="dxa"/>
            <w:vAlign w:val="bottom"/>
            <w:tcBorders>
              <w:right w:val="single" w:sz="8" w:color="DDDDDD"/>
            </w:tcBorders>
          </w:tcPr>
          <w:p>
            <w:pPr>
              <w:spacing w:after="0"/>
              <w:rPr>
                <w:sz w:val="6"/>
                <w:szCs w:val="6"/>
                <w:color w:val="auto"/>
              </w:rPr>
            </w:pPr>
          </w:p>
        </w:tc>
        <w:tc>
          <w:tcPr>
            <w:tcW w:w="560" w:type="dxa"/>
            <w:vAlign w:val="bottom"/>
            <w:tcBorders>
              <w:right w:val="single" w:sz="8" w:color="DDDDDD"/>
            </w:tcBorders>
          </w:tcPr>
          <w:p>
            <w:pPr>
              <w:spacing w:after="0"/>
              <w:rPr>
                <w:sz w:val="6"/>
                <w:szCs w:val="6"/>
                <w:color w:val="auto"/>
              </w:rPr>
            </w:pPr>
          </w:p>
        </w:tc>
        <w:tc>
          <w:tcPr>
            <w:tcW w:w="820" w:type="dxa"/>
            <w:vAlign w:val="bottom"/>
            <w:tcBorders>
              <w:right w:val="single" w:sz="8" w:color="DDDDDD"/>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DADA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6080" w:type="dxa"/>
            <w:vAlign w:val="bottom"/>
            <w:tcBorders>
              <w:bottom w:val="single" w:sz="8" w:color="ADADAD"/>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Benchmark</w:t>
            </w:r>
          </w:p>
        </w:tc>
        <w:tc>
          <w:tcPr>
            <w:tcW w:w="900" w:type="dxa"/>
            <w:vAlign w:val="bottom"/>
            <w:tcBorders>
              <w:bottom w:val="single" w:sz="8" w:color="ADADA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740" w:type="dxa"/>
            <w:vAlign w:val="bottom"/>
            <w:tcBorders>
              <w:left w:val="single" w:sz="8" w:color="DDDDDD"/>
              <w:bottom w:val="single" w:sz="8" w:color="ADADAD"/>
            </w:tcBorders>
          </w:tcPr>
          <w:p>
            <w:pPr>
              <w:ind w:left="120"/>
              <w:spacing w:after="0"/>
              <w:rPr>
                <w:sz w:val="20"/>
                <w:szCs w:val="20"/>
                <w:color w:val="auto"/>
              </w:rPr>
            </w:pPr>
            <w:r>
              <w:rPr>
                <w:rFonts w:ascii="Times New Roman" w:cs="Times New Roman" w:eastAsia="Times New Roman" w:hAnsi="Times New Roman"/>
                <w:sz w:val="14"/>
                <w:szCs w:val="14"/>
                <w:color w:val="auto"/>
              </w:rPr>
              <w:t>Minimum</w:t>
            </w:r>
          </w:p>
        </w:tc>
        <w:tc>
          <w:tcPr>
            <w:tcW w:w="80" w:type="dxa"/>
            <w:vAlign w:val="bottom"/>
            <w:tcBorders>
              <w:bottom w:val="single" w:sz="8" w:color="ADADAD"/>
              <w:right w:val="single" w:sz="8" w:color="DDDDDD"/>
            </w:tcBorders>
          </w:tcPr>
          <w:p>
            <w:pPr>
              <w:spacing w:after="0"/>
              <w:rPr>
                <w:sz w:val="18"/>
                <w:szCs w:val="18"/>
                <w:color w:val="auto"/>
              </w:rPr>
            </w:pPr>
          </w:p>
        </w:tc>
        <w:tc>
          <w:tcPr>
            <w:tcW w:w="800" w:type="dxa"/>
            <w:vAlign w:val="bottom"/>
            <w:tcBorders>
              <w:bottom w:val="single" w:sz="8" w:color="ADADAD"/>
              <w:right w:val="single" w:sz="8" w:color="DDDDDD"/>
            </w:tcBorders>
          </w:tcPr>
          <w:p>
            <w:pPr>
              <w:jc w:val="right"/>
              <w:ind w:right="36"/>
              <w:spacing w:after="0"/>
              <w:rPr>
                <w:sz w:val="20"/>
                <w:szCs w:val="20"/>
                <w:color w:val="auto"/>
              </w:rPr>
            </w:pPr>
            <w:r>
              <w:rPr>
                <w:rFonts w:ascii="Times New Roman" w:cs="Times New Roman" w:eastAsia="Times New Roman" w:hAnsi="Times New Roman"/>
                <w:sz w:val="14"/>
                <w:szCs w:val="14"/>
                <w:color w:val="auto"/>
              </w:rPr>
              <w:t>Threshold</w:t>
            </w:r>
          </w:p>
        </w:tc>
        <w:tc>
          <w:tcPr>
            <w:tcW w:w="560" w:type="dxa"/>
            <w:vAlign w:val="bottom"/>
            <w:tcBorders>
              <w:bottom w:val="single" w:sz="8" w:color="ADADAD"/>
              <w:right w:val="single" w:sz="8" w:color="DDDDDD"/>
            </w:tcBorders>
          </w:tcPr>
          <w:p>
            <w:pPr>
              <w:jc w:val="center"/>
              <w:spacing w:after="0"/>
              <w:rPr>
                <w:sz w:val="20"/>
                <w:szCs w:val="20"/>
                <w:color w:val="auto"/>
              </w:rPr>
            </w:pPr>
            <w:r>
              <w:rPr>
                <w:rFonts w:ascii="Times New Roman" w:cs="Times New Roman" w:eastAsia="Times New Roman" w:hAnsi="Times New Roman"/>
                <w:sz w:val="14"/>
                <w:szCs w:val="14"/>
                <w:color w:val="auto"/>
                <w:w w:val="98"/>
              </w:rPr>
              <w:t>Target</w:t>
            </w:r>
          </w:p>
        </w:tc>
        <w:tc>
          <w:tcPr>
            <w:tcW w:w="820" w:type="dxa"/>
            <w:vAlign w:val="bottom"/>
            <w:tcBorders>
              <w:bottom w:val="single" w:sz="8" w:color="ADADAD"/>
              <w:right w:val="single" w:sz="8" w:color="DDDDDD"/>
            </w:tcBorders>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205"/>
        </w:trPr>
        <w:tc>
          <w:tcPr>
            <w:tcW w:w="1280" w:type="dxa"/>
            <w:vAlign w:val="bottom"/>
            <w:tcBorders>
              <w:left w:val="single" w:sz="8" w:color="DDDDDD"/>
            </w:tcBorders>
          </w:tcPr>
          <w:p>
            <w:pPr>
              <w:spacing w:after="0"/>
              <w:rPr>
                <w:sz w:val="17"/>
                <w:szCs w:val="17"/>
                <w:color w:val="auto"/>
              </w:rPr>
            </w:pPr>
          </w:p>
        </w:tc>
        <w:tc>
          <w:tcPr>
            <w:tcW w:w="608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Total capital expenditures as a percentage of total capitalization as compared to</w:t>
            </w:r>
          </w:p>
        </w:tc>
        <w:tc>
          <w:tcPr>
            <w:tcW w:w="900" w:type="dxa"/>
            <w:vAlign w:val="bottom"/>
          </w:tcPr>
          <w:p>
            <w:pPr>
              <w:spacing w:after="0"/>
              <w:rPr>
                <w:sz w:val="17"/>
                <w:szCs w:val="17"/>
                <w:color w:val="auto"/>
              </w:rPr>
            </w:pPr>
          </w:p>
        </w:tc>
        <w:tc>
          <w:tcPr>
            <w:tcW w:w="740" w:type="dxa"/>
            <w:vAlign w:val="bottom"/>
            <w:tcBorders>
              <w:left w:val="single" w:sz="8" w:color="DDDDDD"/>
            </w:tcBorders>
          </w:tcPr>
          <w:p>
            <w:pPr>
              <w:spacing w:after="0"/>
              <w:rPr>
                <w:sz w:val="17"/>
                <w:szCs w:val="17"/>
                <w:color w:val="auto"/>
              </w:rPr>
            </w:pPr>
          </w:p>
        </w:tc>
        <w:tc>
          <w:tcPr>
            <w:tcW w:w="80" w:type="dxa"/>
            <w:vAlign w:val="bottom"/>
            <w:tcBorders>
              <w:right w:val="single" w:sz="8" w:color="DDDDDD"/>
            </w:tcBorders>
          </w:tcPr>
          <w:p>
            <w:pPr>
              <w:spacing w:after="0"/>
              <w:rPr>
                <w:sz w:val="17"/>
                <w:szCs w:val="17"/>
                <w:color w:val="auto"/>
              </w:rPr>
            </w:pPr>
          </w:p>
        </w:tc>
        <w:tc>
          <w:tcPr>
            <w:tcW w:w="800" w:type="dxa"/>
            <w:vAlign w:val="bottom"/>
            <w:tcBorders>
              <w:right w:val="single" w:sz="8" w:color="DDDDDD"/>
            </w:tcBorders>
          </w:tcPr>
          <w:p>
            <w:pPr>
              <w:spacing w:after="0"/>
              <w:rPr>
                <w:sz w:val="17"/>
                <w:szCs w:val="17"/>
                <w:color w:val="auto"/>
              </w:rPr>
            </w:pPr>
          </w:p>
        </w:tc>
        <w:tc>
          <w:tcPr>
            <w:tcW w:w="560" w:type="dxa"/>
            <w:vAlign w:val="bottom"/>
            <w:tcBorders>
              <w:right w:val="single" w:sz="8" w:color="DDDDDD"/>
            </w:tcBorders>
          </w:tcPr>
          <w:p>
            <w:pPr>
              <w:spacing w:after="0"/>
              <w:rPr>
                <w:sz w:val="17"/>
                <w:szCs w:val="17"/>
                <w:color w:val="auto"/>
              </w:rPr>
            </w:pPr>
          </w:p>
        </w:tc>
        <w:tc>
          <w:tcPr>
            <w:tcW w:w="820" w:type="dxa"/>
            <w:vAlign w:val="bottom"/>
            <w:tcBorders>
              <w:right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360" w:type="dxa"/>
            <w:vAlign w:val="bottom"/>
            <w:tcBorders>
              <w:left w:val="single" w:sz="8" w:color="DDDDDD"/>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color w:val="auto"/>
              </w:rPr>
              <w:t>Growth in Long-  companies in the performance peer group for the period. In the long-term, the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740" w:type="dxa"/>
            <w:vAlign w:val="bottom"/>
            <w:tcBorders>
              <w:left w:val="single" w:sz="8" w:color="DDDDDD"/>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right w:val="single" w:sz="8" w:color="DDDDDD"/>
            </w:tcBorders>
          </w:tcPr>
          <w:p>
            <w:pPr>
              <w:spacing w:after="0"/>
              <w:rPr>
                <w:sz w:val="16"/>
                <w:szCs w:val="16"/>
                <w:color w:val="auto"/>
              </w:rPr>
            </w:pPr>
          </w:p>
        </w:tc>
        <w:tc>
          <w:tcPr>
            <w:tcW w:w="800" w:type="dxa"/>
            <w:vAlign w:val="bottom"/>
            <w:tcBorders>
              <w:right w:val="single" w:sz="8" w:color="DDDDDD"/>
            </w:tcBorders>
            <w:vMerge w:val="restart"/>
          </w:tcPr>
          <w:p>
            <w:pPr>
              <w:jc w:val="right"/>
              <w:ind w:right="156"/>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right w:val="single" w:sz="8" w:color="DDDDD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20" w:type="dxa"/>
            <w:vAlign w:val="bottom"/>
            <w:tcBorders>
              <w:right w:val="single" w:sz="8" w:color="DDDDD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35"/>
        </w:trPr>
        <w:tc>
          <w:tcPr>
            <w:tcW w:w="1280" w:type="dxa"/>
            <w:vAlign w:val="bottom"/>
            <w:tcBorders>
              <w:left w:val="single" w:sz="8" w:color="DDDDDD"/>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Term Earnings</w:t>
            </w:r>
          </w:p>
        </w:tc>
        <w:tc>
          <w:tcPr>
            <w:tcW w:w="60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Company’s growth in earnings per share is dependent upon continuous</w:t>
            </w:r>
          </w:p>
        </w:tc>
        <w:tc>
          <w:tcPr>
            <w:tcW w:w="900" w:type="dxa"/>
            <w:vAlign w:val="bottom"/>
            <w:vMerge w:val="continue"/>
          </w:tcPr>
          <w:p>
            <w:pPr>
              <w:spacing w:after="0"/>
              <w:rPr>
                <w:sz w:val="11"/>
                <w:szCs w:val="11"/>
                <w:color w:val="auto"/>
              </w:rPr>
            </w:pPr>
          </w:p>
        </w:tc>
        <w:tc>
          <w:tcPr>
            <w:tcW w:w="740" w:type="dxa"/>
            <w:vAlign w:val="bottom"/>
            <w:tcBorders>
              <w:left w:val="single" w:sz="8" w:color="DDDDDD"/>
            </w:tcBorders>
            <w:vMerge w:val="continue"/>
          </w:tcPr>
          <w:p>
            <w:pPr>
              <w:spacing w:after="0"/>
              <w:rPr>
                <w:sz w:val="11"/>
                <w:szCs w:val="11"/>
                <w:color w:val="auto"/>
              </w:rPr>
            </w:pPr>
          </w:p>
        </w:tc>
        <w:tc>
          <w:tcPr>
            <w:tcW w:w="80" w:type="dxa"/>
            <w:vAlign w:val="bottom"/>
            <w:tcBorders>
              <w:right w:val="single" w:sz="8" w:color="DDDDDD"/>
            </w:tcBorders>
          </w:tcPr>
          <w:p>
            <w:pPr>
              <w:spacing w:after="0"/>
              <w:rPr>
                <w:sz w:val="11"/>
                <w:szCs w:val="11"/>
                <w:color w:val="auto"/>
              </w:rPr>
            </w:pPr>
          </w:p>
        </w:tc>
        <w:tc>
          <w:tcPr>
            <w:tcW w:w="800" w:type="dxa"/>
            <w:vAlign w:val="bottom"/>
            <w:tcBorders>
              <w:right w:val="single" w:sz="8" w:color="DDDDDD"/>
            </w:tcBorders>
            <w:vMerge w:val="continue"/>
          </w:tcPr>
          <w:p>
            <w:pPr>
              <w:spacing w:after="0"/>
              <w:rPr>
                <w:sz w:val="11"/>
                <w:szCs w:val="11"/>
                <w:color w:val="auto"/>
              </w:rPr>
            </w:pPr>
          </w:p>
        </w:tc>
        <w:tc>
          <w:tcPr>
            <w:tcW w:w="560" w:type="dxa"/>
            <w:vAlign w:val="bottom"/>
            <w:tcBorders>
              <w:right w:val="single" w:sz="8" w:color="DDDDDD"/>
            </w:tcBorders>
            <w:vMerge w:val="continue"/>
          </w:tcPr>
          <w:p>
            <w:pPr>
              <w:spacing w:after="0"/>
              <w:rPr>
                <w:sz w:val="11"/>
                <w:szCs w:val="11"/>
                <w:color w:val="auto"/>
              </w:rPr>
            </w:pPr>
          </w:p>
        </w:tc>
        <w:tc>
          <w:tcPr>
            <w:tcW w:w="820" w:type="dxa"/>
            <w:vAlign w:val="bottom"/>
            <w:tcBorders>
              <w:right w:val="single" w:sz="8" w:color="DDDDDD"/>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DDDDDD"/>
            </w:tcBorders>
            <w:vMerge w:val="continue"/>
          </w:tcPr>
          <w:p>
            <w:pPr>
              <w:spacing w:after="0"/>
              <w:rPr>
                <w:sz w:val="7"/>
                <w:szCs w:val="7"/>
                <w:color w:val="auto"/>
              </w:rPr>
            </w:pPr>
          </w:p>
        </w:tc>
        <w:tc>
          <w:tcPr>
            <w:tcW w:w="6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Borders>
              <w:left w:val="single" w:sz="8" w:color="DDDDDD"/>
            </w:tcBorders>
          </w:tcPr>
          <w:p>
            <w:pPr>
              <w:spacing w:after="0"/>
              <w:rPr>
                <w:sz w:val="7"/>
                <w:szCs w:val="7"/>
                <w:color w:val="auto"/>
              </w:rPr>
            </w:pPr>
          </w:p>
        </w:tc>
        <w:tc>
          <w:tcPr>
            <w:tcW w:w="80" w:type="dxa"/>
            <w:vAlign w:val="bottom"/>
            <w:tcBorders>
              <w:right w:val="single" w:sz="8" w:color="DDDDDD"/>
            </w:tcBorders>
          </w:tcPr>
          <w:p>
            <w:pPr>
              <w:spacing w:after="0"/>
              <w:rPr>
                <w:sz w:val="7"/>
                <w:szCs w:val="7"/>
                <w:color w:val="auto"/>
              </w:rPr>
            </w:pPr>
          </w:p>
        </w:tc>
        <w:tc>
          <w:tcPr>
            <w:tcW w:w="800" w:type="dxa"/>
            <w:vAlign w:val="bottom"/>
            <w:tcBorders>
              <w:right w:val="single" w:sz="8" w:color="DDDDDD"/>
            </w:tcBorders>
          </w:tcPr>
          <w:p>
            <w:pPr>
              <w:spacing w:after="0"/>
              <w:rPr>
                <w:sz w:val="7"/>
                <w:szCs w:val="7"/>
                <w:color w:val="auto"/>
              </w:rPr>
            </w:pPr>
          </w:p>
        </w:tc>
        <w:tc>
          <w:tcPr>
            <w:tcW w:w="560" w:type="dxa"/>
            <w:vAlign w:val="bottom"/>
            <w:tcBorders>
              <w:right w:val="single" w:sz="8" w:color="DDDDDD"/>
            </w:tcBorders>
          </w:tcPr>
          <w:p>
            <w:pPr>
              <w:spacing w:after="0"/>
              <w:rPr>
                <w:sz w:val="7"/>
                <w:szCs w:val="7"/>
                <w:color w:val="auto"/>
              </w:rPr>
            </w:pPr>
          </w:p>
        </w:tc>
        <w:tc>
          <w:tcPr>
            <w:tcW w:w="820" w:type="dxa"/>
            <w:vAlign w:val="bottom"/>
            <w:tcBorders>
              <w:right w:val="single" w:sz="8" w:color="DDDDDD"/>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280" w:type="dxa"/>
            <w:vAlign w:val="bottom"/>
            <w:tcBorders>
              <w:left w:val="single" w:sz="8" w:color="DDDDDD"/>
              <w:bottom w:val="single" w:sz="8" w:color="DDDDDD"/>
            </w:tcBorders>
          </w:tcPr>
          <w:p>
            <w:pPr>
              <w:spacing w:after="0"/>
              <w:rPr>
                <w:sz w:val="20"/>
                <w:szCs w:val="20"/>
                <w:color w:val="auto"/>
              </w:rPr>
            </w:pPr>
          </w:p>
        </w:tc>
        <w:tc>
          <w:tcPr>
            <w:tcW w:w="608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8"/>
                <w:szCs w:val="18"/>
                <w:color w:val="auto"/>
              </w:rPr>
              <w:t>investment of capital at levels sufficient to drive future earnings growth.</w:t>
            </w:r>
          </w:p>
        </w:tc>
        <w:tc>
          <w:tcPr>
            <w:tcW w:w="900" w:type="dxa"/>
            <w:vAlign w:val="bottom"/>
            <w:tcBorders>
              <w:bottom w:val="single" w:sz="8" w:color="DDDDDD"/>
            </w:tcBorders>
          </w:tcPr>
          <w:p>
            <w:pPr>
              <w:spacing w:after="0"/>
              <w:rPr>
                <w:sz w:val="20"/>
                <w:szCs w:val="20"/>
                <w:color w:val="auto"/>
              </w:rPr>
            </w:pPr>
          </w:p>
        </w:tc>
        <w:tc>
          <w:tcPr>
            <w:tcW w:w="740" w:type="dxa"/>
            <w:vAlign w:val="bottom"/>
            <w:tcBorders>
              <w:left w:val="single" w:sz="8" w:color="DDDDDD"/>
              <w:bottom w:val="single" w:sz="8" w:color="DDDDDD"/>
            </w:tcBorders>
          </w:tcPr>
          <w:p>
            <w:pPr>
              <w:spacing w:after="0"/>
              <w:rPr>
                <w:sz w:val="20"/>
                <w:szCs w:val="20"/>
                <w:color w:val="auto"/>
              </w:rPr>
            </w:pPr>
          </w:p>
        </w:tc>
        <w:tc>
          <w:tcPr>
            <w:tcW w:w="80" w:type="dxa"/>
            <w:vAlign w:val="bottom"/>
            <w:tcBorders>
              <w:bottom w:val="single" w:sz="8" w:color="DDDDDD"/>
              <w:right w:val="single" w:sz="8" w:color="DDDDDD"/>
            </w:tcBorders>
          </w:tcPr>
          <w:p>
            <w:pPr>
              <w:spacing w:after="0"/>
              <w:rPr>
                <w:sz w:val="20"/>
                <w:szCs w:val="20"/>
                <w:color w:val="auto"/>
              </w:rPr>
            </w:pPr>
          </w:p>
        </w:tc>
        <w:tc>
          <w:tcPr>
            <w:tcW w:w="800" w:type="dxa"/>
            <w:vAlign w:val="bottom"/>
            <w:tcBorders>
              <w:bottom w:val="single" w:sz="8" w:color="DDDDDD"/>
              <w:right w:val="single" w:sz="8" w:color="DDDDDD"/>
            </w:tcBorders>
          </w:tcPr>
          <w:p>
            <w:pPr>
              <w:spacing w:after="0"/>
              <w:rPr>
                <w:sz w:val="20"/>
                <w:szCs w:val="20"/>
                <w:color w:val="auto"/>
              </w:rPr>
            </w:pPr>
          </w:p>
        </w:tc>
        <w:tc>
          <w:tcPr>
            <w:tcW w:w="560" w:type="dxa"/>
            <w:vAlign w:val="bottom"/>
            <w:tcBorders>
              <w:bottom w:val="single" w:sz="8" w:color="DDDDDD"/>
              <w:right w:val="single" w:sz="8" w:color="DDDDDD"/>
            </w:tcBorders>
          </w:tcPr>
          <w:p>
            <w:pPr>
              <w:spacing w:after="0"/>
              <w:rPr>
                <w:sz w:val="20"/>
                <w:szCs w:val="20"/>
                <w:color w:val="auto"/>
              </w:rPr>
            </w:pPr>
          </w:p>
        </w:tc>
        <w:tc>
          <w:tcPr>
            <w:tcW w:w="820" w:type="dxa"/>
            <w:vAlign w:val="bottom"/>
            <w:tcBorders>
              <w:bottom w:val="single" w:sz="8" w:color="DDDDDD"/>
              <w:right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Borders>
              <w:left w:val="single" w:sz="8" w:color="DDDDDD"/>
            </w:tcBorders>
          </w:tcPr>
          <w:p>
            <w:pPr>
              <w:spacing w:after="0"/>
              <w:rPr>
                <w:sz w:val="19"/>
                <w:szCs w:val="19"/>
                <w:color w:val="auto"/>
              </w:rPr>
            </w:pP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Average ROE compared to companies in the performance peer group for the</w:t>
            </w:r>
          </w:p>
        </w:tc>
        <w:tc>
          <w:tcPr>
            <w:tcW w:w="900" w:type="dxa"/>
            <w:vAlign w:val="bottom"/>
          </w:tcPr>
          <w:p>
            <w:pPr>
              <w:spacing w:after="0"/>
              <w:rPr>
                <w:sz w:val="19"/>
                <w:szCs w:val="19"/>
                <w:color w:val="auto"/>
              </w:rPr>
            </w:pPr>
          </w:p>
        </w:tc>
        <w:tc>
          <w:tcPr>
            <w:tcW w:w="740" w:type="dxa"/>
            <w:vAlign w:val="bottom"/>
            <w:tcBorders>
              <w:left w:val="single" w:sz="8" w:color="DDDDDD"/>
            </w:tcBorders>
          </w:tcPr>
          <w:p>
            <w:pPr>
              <w:spacing w:after="0"/>
              <w:rPr>
                <w:sz w:val="19"/>
                <w:szCs w:val="19"/>
                <w:color w:val="auto"/>
              </w:rPr>
            </w:pPr>
          </w:p>
        </w:tc>
        <w:tc>
          <w:tcPr>
            <w:tcW w:w="80" w:type="dxa"/>
            <w:vAlign w:val="bottom"/>
            <w:tcBorders>
              <w:right w:val="single" w:sz="8" w:color="DDDDDD"/>
            </w:tcBorders>
          </w:tcPr>
          <w:p>
            <w:pPr>
              <w:spacing w:after="0"/>
              <w:rPr>
                <w:sz w:val="19"/>
                <w:szCs w:val="19"/>
                <w:color w:val="auto"/>
              </w:rPr>
            </w:pPr>
          </w:p>
        </w:tc>
        <w:tc>
          <w:tcPr>
            <w:tcW w:w="800" w:type="dxa"/>
            <w:vAlign w:val="bottom"/>
            <w:tcBorders>
              <w:right w:val="single" w:sz="8" w:color="DDDDDD"/>
            </w:tcBorders>
          </w:tcPr>
          <w:p>
            <w:pPr>
              <w:spacing w:after="0"/>
              <w:rPr>
                <w:sz w:val="19"/>
                <w:szCs w:val="19"/>
                <w:color w:val="auto"/>
              </w:rPr>
            </w:pPr>
          </w:p>
        </w:tc>
        <w:tc>
          <w:tcPr>
            <w:tcW w:w="560" w:type="dxa"/>
            <w:vAlign w:val="bottom"/>
            <w:tcBorders>
              <w:right w:val="single" w:sz="8" w:color="DDDDDD"/>
            </w:tcBorders>
          </w:tcPr>
          <w:p>
            <w:pPr>
              <w:spacing w:after="0"/>
              <w:rPr>
                <w:sz w:val="19"/>
                <w:szCs w:val="19"/>
                <w:color w:val="auto"/>
              </w:rPr>
            </w:pPr>
          </w:p>
        </w:tc>
        <w:tc>
          <w:tcPr>
            <w:tcW w:w="820" w:type="dxa"/>
            <w:vAlign w:val="bottom"/>
            <w:tcBorders>
              <w:righ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DDDDDD"/>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ROE</w:t>
            </w:r>
          </w:p>
        </w:tc>
        <w:tc>
          <w:tcPr>
            <w:tcW w:w="60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period, with a predetermined absolute ROE threshold to earn any payout above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740" w:type="dxa"/>
            <w:vAlign w:val="bottom"/>
            <w:tcBorders>
              <w:left w:val="single" w:sz="8" w:color="DDDDDD"/>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right w:val="single" w:sz="8" w:color="DDDDDD"/>
            </w:tcBorders>
          </w:tcPr>
          <w:p>
            <w:pPr>
              <w:spacing w:after="0"/>
              <w:rPr>
                <w:sz w:val="17"/>
                <w:szCs w:val="17"/>
                <w:color w:val="auto"/>
              </w:rPr>
            </w:pPr>
          </w:p>
        </w:tc>
        <w:tc>
          <w:tcPr>
            <w:tcW w:w="800" w:type="dxa"/>
            <w:vAlign w:val="bottom"/>
            <w:tcBorders>
              <w:right w:val="single" w:sz="8" w:color="DDDDDD"/>
            </w:tcBorders>
            <w:vMerge w:val="restart"/>
          </w:tcPr>
          <w:p>
            <w:pPr>
              <w:jc w:val="right"/>
              <w:ind w:right="156"/>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right w:val="single" w:sz="8" w:color="DDDDD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20" w:type="dxa"/>
            <w:vAlign w:val="bottom"/>
            <w:tcBorders>
              <w:right w:val="single" w:sz="8" w:color="DDDDDD"/>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13"/>
        </w:trPr>
        <w:tc>
          <w:tcPr>
            <w:tcW w:w="1280" w:type="dxa"/>
            <w:vAlign w:val="bottom"/>
            <w:tcBorders>
              <w:left w:val="single" w:sz="8" w:color="DDDDDD"/>
            </w:tcBorders>
            <w:vMerge w:val="continue"/>
          </w:tcPr>
          <w:p>
            <w:pPr>
              <w:spacing w:after="0"/>
              <w:rPr>
                <w:sz w:val="9"/>
                <w:szCs w:val="9"/>
                <w:color w:val="auto"/>
              </w:rPr>
            </w:pPr>
          </w:p>
        </w:tc>
        <w:tc>
          <w:tcPr>
            <w:tcW w:w="6080" w:type="dxa"/>
            <w:vAlign w:val="bottom"/>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auto"/>
              </w:rPr>
              <w:t>the target. ROE measures the Company’s ability to generate current income</w:t>
            </w:r>
          </w:p>
        </w:tc>
        <w:tc>
          <w:tcPr>
            <w:tcW w:w="900" w:type="dxa"/>
            <w:vAlign w:val="bottom"/>
            <w:vMerge w:val="continue"/>
          </w:tcPr>
          <w:p>
            <w:pPr>
              <w:spacing w:after="0"/>
              <w:rPr>
                <w:sz w:val="9"/>
                <w:szCs w:val="9"/>
                <w:color w:val="auto"/>
              </w:rPr>
            </w:pPr>
          </w:p>
        </w:tc>
        <w:tc>
          <w:tcPr>
            <w:tcW w:w="740" w:type="dxa"/>
            <w:vAlign w:val="bottom"/>
            <w:tcBorders>
              <w:left w:val="single" w:sz="8" w:color="DDDDDD"/>
            </w:tcBorders>
            <w:vMerge w:val="continue"/>
          </w:tcPr>
          <w:p>
            <w:pPr>
              <w:spacing w:after="0"/>
              <w:rPr>
                <w:sz w:val="9"/>
                <w:szCs w:val="9"/>
                <w:color w:val="auto"/>
              </w:rPr>
            </w:pPr>
          </w:p>
        </w:tc>
        <w:tc>
          <w:tcPr>
            <w:tcW w:w="80" w:type="dxa"/>
            <w:vAlign w:val="bottom"/>
            <w:tcBorders>
              <w:right w:val="single" w:sz="8" w:color="DDDDDD"/>
            </w:tcBorders>
          </w:tcPr>
          <w:p>
            <w:pPr>
              <w:spacing w:after="0"/>
              <w:rPr>
                <w:sz w:val="9"/>
                <w:szCs w:val="9"/>
                <w:color w:val="auto"/>
              </w:rPr>
            </w:pPr>
          </w:p>
        </w:tc>
        <w:tc>
          <w:tcPr>
            <w:tcW w:w="800" w:type="dxa"/>
            <w:vAlign w:val="bottom"/>
            <w:tcBorders>
              <w:right w:val="single" w:sz="8" w:color="DDDDDD"/>
            </w:tcBorders>
            <w:vMerge w:val="continue"/>
          </w:tcPr>
          <w:p>
            <w:pPr>
              <w:spacing w:after="0"/>
              <w:rPr>
                <w:sz w:val="9"/>
                <w:szCs w:val="9"/>
                <w:color w:val="auto"/>
              </w:rPr>
            </w:pPr>
          </w:p>
        </w:tc>
        <w:tc>
          <w:tcPr>
            <w:tcW w:w="560" w:type="dxa"/>
            <w:vAlign w:val="bottom"/>
            <w:tcBorders>
              <w:right w:val="single" w:sz="8" w:color="DDDDDD"/>
            </w:tcBorders>
            <w:vMerge w:val="continue"/>
          </w:tcPr>
          <w:p>
            <w:pPr>
              <w:spacing w:after="0"/>
              <w:rPr>
                <w:sz w:val="9"/>
                <w:szCs w:val="9"/>
                <w:color w:val="auto"/>
              </w:rPr>
            </w:pPr>
          </w:p>
        </w:tc>
        <w:tc>
          <w:tcPr>
            <w:tcW w:w="820" w:type="dxa"/>
            <w:vAlign w:val="bottom"/>
            <w:tcBorders>
              <w:right w:val="single" w:sz="8" w:color="DDDDD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DDDDDD"/>
            </w:tcBorders>
          </w:tcPr>
          <w:p>
            <w:pPr>
              <w:spacing w:after="0"/>
              <w:rPr>
                <w:sz w:val="7"/>
                <w:szCs w:val="7"/>
                <w:color w:val="auto"/>
              </w:rPr>
            </w:pPr>
          </w:p>
        </w:tc>
        <w:tc>
          <w:tcPr>
            <w:tcW w:w="60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Borders>
              <w:left w:val="single" w:sz="8" w:color="DDDDDD"/>
            </w:tcBorders>
          </w:tcPr>
          <w:p>
            <w:pPr>
              <w:spacing w:after="0"/>
              <w:rPr>
                <w:sz w:val="7"/>
                <w:szCs w:val="7"/>
                <w:color w:val="auto"/>
              </w:rPr>
            </w:pPr>
          </w:p>
        </w:tc>
        <w:tc>
          <w:tcPr>
            <w:tcW w:w="80" w:type="dxa"/>
            <w:vAlign w:val="bottom"/>
            <w:tcBorders>
              <w:right w:val="single" w:sz="8" w:color="DDDDDD"/>
            </w:tcBorders>
          </w:tcPr>
          <w:p>
            <w:pPr>
              <w:spacing w:after="0"/>
              <w:rPr>
                <w:sz w:val="7"/>
                <w:szCs w:val="7"/>
                <w:color w:val="auto"/>
              </w:rPr>
            </w:pPr>
          </w:p>
        </w:tc>
        <w:tc>
          <w:tcPr>
            <w:tcW w:w="800" w:type="dxa"/>
            <w:vAlign w:val="bottom"/>
            <w:tcBorders>
              <w:right w:val="single" w:sz="8" w:color="DDDDDD"/>
            </w:tcBorders>
          </w:tcPr>
          <w:p>
            <w:pPr>
              <w:spacing w:after="0"/>
              <w:rPr>
                <w:sz w:val="7"/>
                <w:szCs w:val="7"/>
                <w:color w:val="auto"/>
              </w:rPr>
            </w:pPr>
          </w:p>
        </w:tc>
        <w:tc>
          <w:tcPr>
            <w:tcW w:w="560" w:type="dxa"/>
            <w:vAlign w:val="bottom"/>
            <w:tcBorders>
              <w:right w:val="single" w:sz="8" w:color="DDDDDD"/>
            </w:tcBorders>
          </w:tcPr>
          <w:p>
            <w:pPr>
              <w:spacing w:after="0"/>
              <w:rPr>
                <w:sz w:val="7"/>
                <w:szCs w:val="7"/>
                <w:color w:val="auto"/>
              </w:rPr>
            </w:pPr>
          </w:p>
        </w:tc>
        <w:tc>
          <w:tcPr>
            <w:tcW w:w="820" w:type="dxa"/>
            <w:vAlign w:val="bottom"/>
            <w:tcBorders>
              <w:right w:val="single" w:sz="8" w:color="DDDDDD"/>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280" w:type="dxa"/>
            <w:vAlign w:val="bottom"/>
            <w:tcBorders>
              <w:left w:val="single" w:sz="8" w:color="DDDDDD"/>
              <w:bottom w:val="single" w:sz="8" w:color="DDDDDD"/>
            </w:tcBorders>
          </w:tcPr>
          <w:p>
            <w:pPr>
              <w:spacing w:after="0"/>
              <w:rPr>
                <w:sz w:val="20"/>
                <w:szCs w:val="20"/>
                <w:color w:val="auto"/>
              </w:rPr>
            </w:pPr>
          </w:p>
        </w:tc>
        <w:tc>
          <w:tcPr>
            <w:tcW w:w="608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18"/>
                <w:szCs w:val="18"/>
                <w:color w:val="auto"/>
              </w:rPr>
              <w:t>using equity investors’ capital.</w:t>
            </w:r>
          </w:p>
        </w:tc>
        <w:tc>
          <w:tcPr>
            <w:tcW w:w="900" w:type="dxa"/>
            <w:vAlign w:val="bottom"/>
            <w:tcBorders>
              <w:bottom w:val="single" w:sz="8" w:color="DDDDDD"/>
            </w:tcBorders>
          </w:tcPr>
          <w:p>
            <w:pPr>
              <w:spacing w:after="0"/>
              <w:rPr>
                <w:sz w:val="20"/>
                <w:szCs w:val="20"/>
                <w:color w:val="auto"/>
              </w:rPr>
            </w:pPr>
          </w:p>
        </w:tc>
        <w:tc>
          <w:tcPr>
            <w:tcW w:w="740" w:type="dxa"/>
            <w:vAlign w:val="bottom"/>
            <w:tcBorders>
              <w:left w:val="single" w:sz="8" w:color="DDDDDD"/>
              <w:bottom w:val="single" w:sz="8" w:color="DDDDDD"/>
            </w:tcBorders>
          </w:tcPr>
          <w:p>
            <w:pPr>
              <w:spacing w:after="0"/>
              <w:rPr>
                <w:sz w:val="20"/>
                <w:szCs w:val="20"/>
                <w:color w:val="auto"/>
              </w:rPr>
            </w:pPr>
          </w:p>
        </w:tc>
        <w:tc>
          <w:tcPr>
            <w:tcW w:w="80" w:type="dxa"/>
            <w:vAlign w:val="bottom"/>
            <w:tcBorders>
              <w:bottom w:val="single" w:sz="8" w:color="DDDDDD"/>
              <w:right w:val="single" w:sz="8" w:color="DDDDDD"/>
            </w:tcBorders>
          </w:tcPr>
          <w:p>
            <w:pPr>
              <w:spacing w:after="0"/>
              <w:rPr>
                <w:sz w:val="20"/>
                <w:szCs w:val="20"/>
                <w:color w:val="auto"/>
              </w:rPr>
            </w:pPr>
          </w:p>
        </w:tc>
        <w:tc>
          <w:tcPr>
            <w:tcW w:w="800" w:type="dxa"/>
            <w:vAlign w:val="bottom"/>
            <w:tcBorders>
              <w:bottom w:val="single" w:sz="8" w:color="DDDDDD"/>
              <w:right w:val="single" w:sz="8" w:color="DDDDDD"/>
            </w:tcBorders>
          </w:tcPr>
          <w:p>
            <w:pPr>
              <w:spacing w:after="0"/>
              <w:rPr>
                <w:sz w:val="20"/>
                <w:szCs w:val="20"/>
                <w:color w:val="auto"/>
              </w:rPr>
            </w:pPr>
          </w:p>
        </w:tc>
        <w:tc>
          <w:tcPr>
            <w:tcW w:w="560" w:type="dxa"/>
            <w:vAlign w:val="bottom"/>
            <w:tcBorders>
              <w:bottom w:val="single" w:sz="8" w:color="DDDDDD"/>
              <w:right w:val="single" w:sz="8" w:color="DDDDDD"/>
            </w:tcBorders>
          </w:tcPr>
          <w:p>
            <w:pPr>
              <w:spacing w:after="0"/>
              <w:rPr>
                <w:sz w:val="20"/>
                <w:szCs w:val="20"/>
                <w:color w:val="auto"/>
              </w:rPr>
            </w:pPr>
          </w:p>
        </w:tc>
        <w:tc>
          <w:tcPr>
            <w:tcW w:w="820" w:type="dxa"/>
            <w:vAlign w:val="bottom"/>
            <w:tcBorders>
              <w:bottom w:val="single" w:sz="8" w:color="DDDDDD"/>
              <w:right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Borders>
              <w:left w:val="single" w:sz="8" w:color="DDDDDD"/>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TSR</w:t>
            </w:r>
          </w:p>
        </w:tc>
        <w:tc>
          <w:tcPr>
            <w:tcW w:w="6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shareholder return compared to the total shareholder returns of companies</w:t>
            </w: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2"/>
            <w:vMerge w:val="restart"/>
          </w:tcPr>
          <w:p>
            <w:pPr>
              <w:jc w:val="right"/>
              <w:ind w:right="156"/>
              <w:spacing w:after="0"/>
              <w:rPr>
                <w:sz w:val="20"/>
                <w:szCs w:val="20"/>
                <w:color w:val="auto"/>
              </w:rPr>
            </w:pPr>
            <w:r>
              <w:rPr>
                <w:rFonts w:ascii="Times New Roman" w:cs="Times New Roman" w:eastAsia="Times New Roman" w:hAnsi="Times New Roman"/>
                <w:sz w:val="18"/>
                <w:szCs w:val="18"/>
                <w:color w:val="auto"/>
              </w:rPr>
              <w:t>+/- 20%</w:t>
            </w:r>
          </w:p>
        </w:tc>
        <w:tc>
          <w:tcPr>
            <w:tcW w:w="560" w:type="dxa"/>
            <w:vAlign w:val="bottom"/>
          </w:tcPr>
          <w:p>
            <w:pPr>
              <w:spacing w:after="0"/>
              <w:rPr>
                <w:sz w:val="19"/>
                <w:szCs w:val="19"/>
                <w:color w:val="auto"/>
              </w:rPr>
            </w:pPr>
          </w:p>
        </w:tc>
        <w:tc>
          <w:tcPr>
            <w:tcW w:w="820" w:type="dxa"/>
            <w:vAlign w:val="bottom"/>
            <w:tcBorders>
              <w:righ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1280" w:type="dxa"/>
            <w:vAlign w:val="bottom"/>
            <w:tcBorders>
              <w:left w:val="single" w:sz="8" w:color="DDDDDD"/>
            </w:tcBorders>
            <w:vMerge w:val="continue"/>
          </w:tcPr>
          <w:p>
            <w:pPr>
              <w:spacing w:after="0"/>
              <w:rPr>
                <w:sz w:val="8"/>
                <w:szCs w:val="8"/>
                <w:color w:val="auto"/>
              </w:rPr>
            </w:pPr>
          </w:p>
        </w:tc>
        <w:tc>
          <w:tcPr>
            <w:tcW w:w="6080" w:type="dxa"/>
            <w:vAlign w:val="bottom"/>
            <w:vMerge w:val="restart"/>
          </w:tcPr>
          <w:p>
            <w:pPr>
              <w:ind w:left="160"/>
              <w:spacing w:after="0" w:line="202" w:lineRule="exact"/>
              <w:rPr>
                <w:sz w:val="20"/>
                <w:szCs w:val="20"/>
                <w:color w:val="auto"/>
              </w:rPr>
            </w:pPr>
            <w:r>
              <w:rPr>
                <w:rFonts w:ascii="Times New Roman" w:cs="Times New Roman" w:eastAsia="Times New Roman" w:hAnsi="Times New Roman"/>
                <w:sz w:val="18"/>
                <w:szCs w:val="18"/>
                <w:color w:val="auto"/>
              </w:rPr>
              <w:t>included in the performance peer group for the period. Shareholder Return</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Borders>
              <w:right w:val="single" w:sz="8" w:color="DDDDDD"/>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DDDDDD"/>
            </w:tcBorders>
            <w:vMerge w:val="continue"/>
          </w:tcPr>
          <w:p>
            <w:pPr>
              <w:spacing w:after="0"/>
              <w:rPr>
                <w:sz w:val="9"/>
                <w:szCs w:val="9"/>
                <w:color w:val="auto"/>
              </w:rPr>
            </w:pPr>
          </w:p>
        </w:tc>
        <w:tc>
          <w:tcPr>
            <w:tcW w:w="60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8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w w:val="99"/>
              </w:rPr>
              <w:t>Modifier</w:t>
            </w:r>
          </w:p>
        </w:tc>
        <w:tc>
          <w:tcPr>
            <w:tcW w:w="560" w:type="dxa"/>
            <w:vAlign w:val="bottom"/>
          </w:tcPr>
          <w:p>
            <w:pPr>
              <w:spacing w:after="0"/>
              <w:rPr>
                <w:sz w:val="9"/>
                <w:szCs w:val="9"/>
                <w:color w:val="auto"/>
              </w:rPr>
            </w:pPr>
          </w:p>
        </w:tc>
        <w:tc>
          <w:tcPr>
            <w:tcW w:w="820" w:type="dxa"/>
            <w:vAlign w:val="bottom"/>
            <w:tcBorders>
              <w:right w:val="single" w:sz="8" w:color="DDDDDD"/>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DDDDDD"/>
            </w:tcBorders>
          </w:tcPr>
          <w:p>
            <w:pPr>
              <w:spacing w:after="0"/>
              <w:rPr>
                <w:sz w:val="10"/>
                <w:szCs w:val="10"/>
                <w:color w:val="auto"/>
              </w:rPr>
            </w:pPr>
          </w:p>
        </w:tc>
        <w:tc>
          <w:tcPr>
            <w:tcW w:w="60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incentivizes executives to generate additional value for our stockholders.</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Borders>
              <w:right w:val="single" w:sz="8" w:color="DDDDDD"/>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80" w:type="dxa"/>
            <w:vAlign w:val="bottom"/>
            <w:tcBorders>
              <w:left w:val="single" w:sz="8" w:color="DDDDDD"/>
              <w:bottom w:val="single" w:sz="8" w:color="DDDDDD"/>
            </w:tcBorders>
          </w:tcPr>
          <w:p>
            <w:pPr>
              <w:spacing w:after="0"/>
              <w:rPr>
                <w:sz w:val="10"/>
                <w:szCs w:val="10"/>
                <w:color w:val="auto"/>
              </w:rPr>
            </w:pPr>
          </w:p>
        </w:tc>
        <w:tc>
          <w:tcPr>
            <w:tcW w:w="6080" w:type="dxa"/>
            <w:vAlign w:val="bottom"/>
            <w:tcBorders>
              <w:bottom w:val="single" w:sz="8" w:color="DDDDDD"/>
            </w:tcBorders>
            <w:vMerge w:val="continue"/>
          </w:tcPr>
          <w:p>
            <w:pPr>
              <w:spacing w:after="0"/>
              <w:rPr>
                <w:sz w:val="10"/>
                <w:szCs w:val="10"/>
                <w:color w:val="auto"/>
              </w:rPr>
            </w:pPr>
          </w:p>
        </w:tc>
        <w:tc>
          <w:tcPr>
            <w:tcW w:w="900" w:type="dxa"/>
            <w:vAlign w:val="bottom"/>
            <w:tcBorders>
              <w:bottom w:val="single" w:sz="8" w:color="DDDDDD"/>
            </w:tcBorders>
          </w:tcPr>
          <w:p>
            <w:pPr>
              <w:spacing w:after="0"/>
              <w:rPr>
                <w:sz w:val="10"/>
                <w:szCs w:val="10"/>
                <w:color w:val="auto"/>
              </w:rPr>
            </w:pPr>
          </w:p>
        </w:tc>
        <w:tc>
          <w:tcPr>
            <w:tcW w:w="740" w:type="dxa"/>
            <w:vAlign w:val="bottom"/>
            <w:tcBorders>
              <w:bottom w:val="single" w:sz="8" w:color="DDDDDD"/>
            </w:tcBorders>
          </w:tcPr>
          <w:p>
            <w:pPr>
              <w:spacing w:after="0"/>
              <w:rPr>
                <w:sz w:val="10"/>
                <w:szCs w:val="10"/>
                <w:color w:val="auto"/>
              </w:rPr>
            </w:pPr>
          </w:p>
        </w:tc>
        <w:tc>
          <w:tcPr>
            <w:tcW w:w="80" w:type="dxa"/>
            <w:vAlign w:val="bottom"/>
            <w:tcBorders>
              <w:bottom w:val="single" w:sz="8" w:color="DDDDDD"/>
            </w:tcBorders>
          </w:tcPr>
          <w:p>
            <w:pPr>
              <w:spacing w:after="0"/>
              <w:rPr>
                <w:sz w:val="10"/>
                <w:szCs w:val="10"/>
                <w:color w:val="auto"/>
              </w:rPr>
            </w:pPr>
          </w:p>
        </w:tc>
        <w:tc>
          <w:tcPr>
            <w:tcW w:w="800" w:type="dxa"/>
            <w:vAlign w:val="bottom"/>
            <w:tcBorders>
              <w:bottom w:val="single" w:sz="8" w:color="DDDDDD"/>
            </w:tcBorders>
          </w:tcPr>
          <w:p>
            <w:pPr>
              <w:spacing w:after="0"/>
              <w:rPr>
                <w:sz w:val="10"/>
                <w:szCs w:val="10"/>
                <w:color w:val="auto"/>
              </w:rPr>
            </w:pPr>
          </w:p>
        </w:tc>
        <w:tc>
          <w:tcPr>
            <w:tcW w:w="560" w:type="dxa"/>
            <w:vAlign w:val="bottom"/>
            <w:tcBorders>
              <w:bottom w:val="single" w:sz="8" w:color="DDDDDD"/>
            </w:tcBorders>
          </w:tcPr>
          <w:p>
            <w:pPr>
              <w:spacing w:after="0"/>
              <w:rPr>
                <w:sz w:val="10"/>
                <w:szCs w:val="10"/>
                <w:color w:val="auto"/>
              </w:rPr>
            </w:pPr>
          </w:p>
        </w:tc>
        <w:tc>
          <w:tcPr>
            <w:tcW w:w="820" w:type="dxa"/>
            <w:vAlign w:val="bottom"/>
            <w:tcBorders>
              <w:bottom w:val="single" w:sz="8" w:color="DDDDDD"/>
              <w:right w:val="single" w:sz="8" w:color="DDDDDD"/>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Relative Performance for Growth and ROE</w:t>
      </w:r>
      <w:r>
        <w:rPr>
          <w:rFonts w:ascii="Times New Roman" w:cs="Times New Roman" w:eastAsia="Times New Roman" w:hAnsi="Times New Roman"/>
          <w:sz w:val="18"/>
          <w:szCs w:val="18"/>
          <w:color w:val="auto"/>
        </w:rPr>
        <w:t>. The Compensation Committee evaluates achievement of the Growth in Long-Term Earnings and ROE performance components based upon the Company's performance relative to the peer group over the applicable thirty-six month performance period. The payout opportunity for each of these two performance components is based on the Company's percentile ranking against the companies in the peer group as shown in the following table. Additionally, for the ROE component, a predetermined absolute ROE threshold of 8% is required to earn any payout above 100% of target.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Borders>
              <w:bottom w:val="single" w:sz="8" w:color="DDDDDD"/>
            </w:tcBorders>
          </w:tcPr>
          <w:p>
            <w:pPr>
              <w:jc w:val="center"/>
              <w:spacing w:after="0"/>
              <w:rPr>
                <w:sz w:val="20"/>
                <w:szCs w:val="20"/>
                <w:color w:val="auto"/>
              </w:rPr>
            </w:pPr>
            <w:r>
              <w:rPr>
                <w:rFonts w:ascii="Times New Roman" w:cs="Times New Roman" w:eastAsia="Times New Roman" w:hAnsi="Times New Roman"/>
                <w:sz w:val="16"/>
                <w:szCs w:val="16"/>
                <w:color w:val="auto"/>
              </w:rPr>
              <w:t>Percentile Ranking as Compared To Companies in the Performance Peer Group</w:t>
            </w:r>
          </w:p>
        </w:tc>
        <w:tc>
          <w:tcPr>
            <w:tcW w:w="4800" w:type="dxa"/>
            <w:vAlign w:val="bottom"/>
            <w:tcBorders>
              <w:bottom w:val="single" w:sz="8" w:color="DDDDDD"/>
            </w:tcBorders>
            <w:gridSpan w:val="2"/>
          </w:tcPr>
          <w:p>
            <w:pPr>
              <w:ind w:left="620"/>
              <w:spacing w:after="0"/>
              <w:rPr>
                <w:sz w:val="20"/>
                <w:szCs w:val="20"/>
                <w:color w:val="auto"/>
              </w:rPr>
            </w:pPr>
            <w:r>
              <w:rPr>
                <w:rFonts w:ascii="Times New Roman" w:cs="Times New Roman" w:eastAsia="Times New Roman" w:hAnsi="Times New Roman"/>
                <w:sz w:val="16"/>
                <w:szCs w:val="16"/>
                <w:color w:val="auto"/>
              </w:rPr>
              <w:t>Percentage of Payout of Target Equity Incentive Award</w:t>
            </w:r>
          </w:p>
        </w:tc>
      </w:tr>
      <w:tr>
        <w:trPr>
          <w:trHeight w:val="224"/>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Less than 40th percentile</w:t>
            </w:r>
          </w:p>
        </w:tc>
        <w:tc>
          <w:tcPr>
            <w:tcW w:w="4800" w:type="dxa"/>
            <w:vAlign w:val="bottom"/>
            <w:gridSpan w:val="2"/>
          </w:tcPr>
          <w:p>
            <w:pPr>
              <w:jc w:val="right"/>
              <w:ind w:right="2199"/>
              <w:spacing w:after="0"/>
              <w:rPr>
                <w:sz w:val="20"/>
                <w:szCs w:val="20"/>
                <w:color w:val="auto"/>
              </w:rPr>
            </w:pPr>
            <w:r>
              <w:rPr>
                <w:rFonts w:ascii="Times New Roman" w:cs="Times New Roman" w:eastAsia="Times New Roman" w:hAnsi="Times New Roman"/>
                <w:sz w:val="16"/>
                <w:szCs w:val="16"/>
                <w:color w:val="auto"/>
              </w:rPr>
              <w:t>0%</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40th – 49th percentile</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- 74%</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50th – 54th percentile</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- 99%</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55th – 59th percentile</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- 124%</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60th – 64th percentile</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- 149%</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65th – 69th percentile</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- 174%</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70th – 80th percentile</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- 199%</w:t>
            </w:r>
          </w:p>
        </w:tc>
      </w:tr>
      <w:tr>
        <w:trPr>
          <w:trHeight w:val="243"/>
        </w:trPr>
        <w:tc>
          <w:tcPr>
            <w:tcW w:w="6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Greater than 80th percentile</w:t>
            </w:r>
          </w:p>
        </w:tc>
        <w:tc>
          <w:tcPr>
            <w:tcW w:w="4800" w:type="dxa"/>
            <w:vAlign w:val="bottom"/>
            <w:gridSpan w:val="2"/>
          </w:tcPr>
          <w:p>
            <w:pPr>
              <w:jc w:val="right"/>
              <w:ind w:right="2119"/>
              <w:spacing w:after="0"/>
              <w:rPr>
                <w:sz w:val="20"/>
                <w:szCs w:val="20"/>
                <w:color w:val="auto"/>
              </w:rPr>
            </w:pPr>
            <w:r>
              <w:rPr>
                <w:rFonts w:ascii="Times New Roman" w:cs="Times New Roman" w:eastAsia="Times New Roman" w:hAnsi="Times New Roman"/>
                <w:sz w:val="16"/>
                <w:szCs w:val="16"/>
                <w:color w:val="auto"/>
              </w:rPr>
              <w:t>200%</w:t>
            </w:r>
          </w:p>
        </w:tc>
      </w:tr>
    </w:tbl>
    <w:p>
      <w:pPr>
        <w:spacing w:after="0" w:line="200" w:lineRule="exact"/>
        <w:rPr>
          <w:sz w:val="20"/>
          <w:szCs w:val="20"/>
          <w:color w:val="auto"/>
        </w:rPr>
      </w:pPr>
    </w:p>
    <w:p>
      <w:pPr>
        <w:spacing w:after="0" w:line="38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1" w:right="319" w:bottom="1440" w:gutter="0" w:footer="0" w:header="0"/>
        </w:sectPr>
      </w:pPr>
    </w:p>
    <w:bookmarkStart w:id="38" w:name="page39"/>
    <w:bookmarkEnd w:id="38"/>
    <w:p>
      <w:pPr>
        <w:jc w:val="both"/>
        <w:spacing w:after="0" w:line="269" w:lineRule="auto"/>
        <w:rPr>
          <w:sz w:val="20"/>
          <w:szCs w:val="20"/>
          <w:color w:val="auto"/>
        </w:rPr>
      </w:pPr>
      <w:r>
        <w:rPr>
          <w:rFonts w:ascii="Times New Roman" w:cs="Times New Roman" w:eastAsia="Times New Roman" w:hAnsi="Times New Roman"/>
          <w:sz w:val="18"/>
          <w:szCs w:val="18"/>
          <w:u w:val="single" w:color="auto"/>
          <w:color w:val="auto"/>
        </w:rPr>
        <w:t>Relative Performance for TSR Modifier</w:t>
      </w:r>
      <w:r>
        <w:rPr>
          <w:rFonts w:ascii="Times New Roman" w:cs="Times New Roman" w:eastAsia="Times New Roman" w:hAnsi="Times New Roman"/>
          <w:sz w:val="18"/>
          <w:szCs w:val="18"/>
          <w:color w:val="auto"/>
        </w:rPr>
        <w:t>. The Compensation Committee evaluates achievement of the TSR modifier based upon the Company's three-year performance as compared to the peer group. At the end of the three-year performance period, the companies in the peer group are sorted by TSR performance, and the 25th, 50th and 75th percentiles are calculated. The Company's TSR performance is then compared to the TSR of the companies in the peer group. The payout of the equity incentive awards will then be adjusted upward or downward by a percentage based on the TSR relative percentile rank as shown below; provided, however, that in no event will the TSR modifier adjustment result in a payout of more than 200% of the target equity incentive award. All performance between the 25th and 75th percentiles will be interpolated.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bottom w:val="single" w:sz="8" w:color="DDDDDD"/>
            </w:tcBorders>
          </w:tcPr>
          <w:p>
            <w:pPr>
              <w:jc w:val="center"/>
              <w:ind w:right="19"/>
              <w:spacing w:after="0"/>
              <w:rPr>
                <w:sz w:val="20"/>
                <w:szCs w:val="20"/>
                <w:color w:val="auto"/>
              </w:rPr>
            </w:pPr>
            <w:r>
              <w:rPr>
                <w:rFonts w:ascii="Times New Roman" w:cs="Times New Roman" w:eastAsia="Times New Roman" w:hAnsi="Times New Roman"/>
                <w:sz w:val="16"/>
                <w:szCs w:val="16"/>
                <w:color w:val="auto"/>
              </w:rPr>
              <w:t>Percentile Ranking as Compared To Companies in the Performance Peer Group</w:t>
            </w:r>
          </w:p>
        </w:tc>
        <w:tc>
          <w:tcPr>
            <w:tcW w:w="4980" w:type="dxa"/>
            <w:vAlign w:val="bottom"/>
            <w:tcBorders>
              <w:bottom w:val="single" w:sz="8" w:color="DDDDDD"/>
            </w:tcBorders>
          </w:tcPr>
          <w:p>
            <w:pPr>
              <w:jc w:val="center"/>
              <w:ind w:left="39"/>
              <w:spacing w:after="0"/>
              <w:rPr>
                <w:sz w:val="20"/>
                <w:szCs w:val="20"/>
                <w:color w:val="auto"/>
              </w:rPr>
            </w:pPr>
            <w:r>
              <w:rPr>
                <w:rFonts w:ascii="Times New Roman" w:cs="Times New Roman" w:eastAsia="Times New Roman" w:hAnsi="Times New Roman"/>
                <w:sz w:val="16"/>
                <w:szCs w:val="16"/>
                <w:color w:val="auto"/>
              </w:rPr>
              <w:t>Percentage of Modifier Applied to Equity Incentive Award*</w:t>
            </w:r>
          </w:p>
        </w:tc>
      </w:tr>
      <w:tr>
        <w:trPr>
          <w:trHeight w:val="224"/>
        </w:trPr>
        <w:tc>
          <w:tcPr>
            <w:tcW w:w="6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25th percentile or less</w:t>
            </w:r>
          </w:p>
        </w:tc>
        <w:tc>
          <w:tcPr>
            <w:tcW w:w="49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6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26th – 49th percentile</w:t>
            </w:r>
          </w:p>
        </w:tc>
        <w:tc>
          <w:tcPr>
            <w:tcW w:w="49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-19.2% to -0.8%</w:t>
            </w:r>
          </w:p>
        </w:tc>
      </w:tr>
      <w:tr>
        <w:trPr>
          <w:trHeight w:val="243"/>
        </w:trPr>
        <w:tc>
          <w:tcPr>
            <w:tcW w:w="6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50th percentile</w:t>
            </w:r>
          </w:p>
        </w:tc>
        <w:tc>
          <w:tcPr>
            <w:tcW w:w="49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0%</w:t>
            </w:r>
          </w:p>
        </w:tc>
      </w:tr>
      <w:tr>
        <w:trPr>
          <w:trHeight w:val="243"/>
        </w:trPr>
        <w:tc>
          <w:tcPr>
            <w:tcW w:w="6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51st – 74th percentile</w:t>
            </w:r>
          </w:p>
        </w:tc>
        <w:tc>
          <w:tcPr>
            <w:tcW w:w="49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0.8% to 19.2%</w:t>
            </w:r>
          </w:p>
        </w:tc>
      </w:tr>
      <w:tr>
        <w:trPr>
          <w:trHeight w:val="243"/>
        </w:trPr>
        <w:tc>
          <w:tcPr>
            <w:tcW w:w="62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75th percentile or greater</w:t>
            </w:r>
          </w:p>
        </w:tc>
        <w:tc>
          <w:tcPr>
            <w:tcW w:w="49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20%</w:t>
            </w: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 positive TSR is required for the modifier to be applied to the equity incentive award payout on an additive basis.</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INCENTIVE AWARDS AT THRESHOLD, TARGET AND MAXIMUM</w:t>
      </w:r>
      <w:r>
        <w:rPr>
          <w:rFonts w:ascii="Times New Roman" w:cs="Times New Roman" w:eastAsia="Times New Roman" w:hAnsi="Times New Roman"/>
          <w:sz w:val="23"/>
          <w:szCs w:val="23"/>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Borders>
              <w:top w:val="single" w:sz="8" w:color="DDDDDD"/>
              <w:right w:val="single" w:sz="8" w:color="DDDDDD"/>
            </w:tcBorders>
          </w:tcPr>
          <w:p>
            <w:pPr>
              <w:spacing w:after="0"/>
              <w:rPr>
                <w:sz w:val="20"/>
                <w:szCs w:val="20"/>
                <w:color w:val="auto"/>
              </w:rPr>
            </w:pPr>
          </w:p>
        </w:tc>
        <w:tc>
          <w:tcPr>
            <w:tcW w:w="3040" w:type="dxa"/>
            <w:vAlign w:val="bottom"/>
            <w:tcBorders>
              <w:top w:val="single" w:sz="8" w:color="DDDDDD"/>
              <w:right w:val="single" w:sz="8" w:color="DDDDDD"/>
            </w:tcBorders>
            <w:gridSpan w:val="3"/>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rPr>
              <w:t>2025-2027 Performance Period</w:t>
            </w:r>
          </w:p>
        </w:tc>
        <w:tc>
          <w:tcPr>
            <w:tcW w:w="3020" w:type="dxa"/>
            <w:vAlign w:val="bottom"/>
            <w:tcBorders>
              <w:top w:val="single" w:sz="8" w:color="DDDDDD"/>
              <w:right w:val="single" w:sz="8" w:color="DDDDDD"/>
            </w:tcBorders>
            <w:gridSpan w:val="3"/>
            <w:vMerge w:val="restart"/>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2024-2026 Performance Period</w:t>
            </w:r>
          </w:p>
        </w:tc>
        <w:tc>
          <w:tcPr>
            <w:tcW w:w="3020" w:type="dxa"/>
            <w:vAlign w:val="bottom"/>
            <w:tcBorders>
              <w:top w:val="single" w:sz="8" w:color="DDDDDD"/>
              <w:right w:val="single" w:sz="8" w:color="DDDDDD"/>
            </w:tcBorders>
            <w:gridSpan w:val="3"/>
            <w:vMerge w:val="restart"/>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2023-2025 Performance Period</w:t>
            </w:r>
          </w:p>
        </w:tc>
        <w:tc>
          <w:tcPr>
            <w:tcW w:w="0" w:type="dxa"/>
            <w:vAlign w:val="bottom"/>
          </w:tcPr>
          <w:p>
            <w:pPr>
              <w:spacing w:after="0"/>
              <w:rPr>
                <w:sz w:val="1"/>
                <w:szCs w:val="1"/>
                <w:color w:val="auto"/>
              </w:rPr>
            </w:pPr>
          </w:p>
        </w:tc>
      </w:tr>
      <w:tr>
        <w:trPr>
          <w:trHeight w:val="93"/>
        </w:trPr>
        <w:tc>
          <w:tcPr>
            <w:tcW w:w="2140" w:type="dxa"/>
            <w:vAlign w:val="bottom"/>
            <w:tcBorders>
              <w:right w:val="single" w:sz="8" w:color="DDDDDD"/>
            </w:tcBorders>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Borders>
              <w:right w:val="single" w:sz="8" w:color="DDDDDD"/>
            </w:tcBorders>
          </w:tcPr>
          <w:p>
            <w:pPr>
              <w:spacing w:after="0"/>
              <w:rPr>
                <w:sz w:val="8"/>
                <w:szCs w:val="8"/>
                <w:color w:val="auto"/>
              </w:rPr>
            </w:pPr>
          </w:p>
        </w:tc>
        <w:tc>
          <w:tcPr>
            <w:tcW w:w="3020" w:type="dxa"/>
            <w:vAlign w:val="bottom"/>
            <w:tcBorders>
              <w:right w:val="single" w:sz="8" w:color="DDDDDD"/>
            </w:tcBorders>
            <w:gridSpan w:val="3"/>
            <w:vMerge w:val="continue"/>
          </w:tcPr>
          <w:p>
            <w:pPr>
              <w:spacing w:after="0"/>
              <w:rPr>
                <w:sz w:val="8"/>
                <w:szCs w:val="8"/>
                <w:color w:val="auto"/>
              </w:rPr>
            </w:pPr>
          </w:p>
        </w:tc>
        <w:tc>
          <w:tcPr>
            <w:tcW w:w="3020" w:type="dxa"/>
            <w:vAlign w:val="bottom"/>
            <w:tcBorders>
              <w:right w:val="single" w:sz="8" w:color="DDDDDD"/>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140" w:type="dxa"/>
            <w:vAlign w:val="bottom"/>
            <w:tcBorders>
              <w:right w:val="single" w:sz="8" w:color="DDDDDD"/>
            </w:tcBorders>
          </w:tcPr>
          <w:p>
            <w:pPr>
              <w:spacing w:after="0"/>
              <w:rPr>
                <w:sz w:val="10"/>
                <w:szCs w:val="10"/>
                <w:color w:val="auto"/>
              </w:rPr>
            </w:pPr>
          </w:p>
        </w:tc>
        <w:tc>
          <w:tcPr>
            <w:tcW w:w="1080" w:type="dxa"/>
            <w:vAlign w:val="bottom"/>
            <w:tcBorders>
              <w:bottom w:val="single" w:sz="8" w:color="CBCBCB"/>
            </w:tcBorders>
          </w:tcPr>
          <w:p>
            <w:pPr>
              <w:spacing w:after="0"/>
              <w:rPr>
                <w:sz w:val="10"/>
                <w:szCs w:val="10"/>
                <w:color w:val="auto"/>
              </w:rPr>
            </w:pPr>
          </w:p>
        </w:tc>
        <w:tc>
          <w:tcPr>
            <w:tcW w:w="960" w:type="dxa"/>
            <w:vAlign w:val="bottom"/>
            <w:tcBorders>
              <w:bottom w:val="single" w:sz="8" w:color="CBCBCB"/>
            </w:tcBorders>
          </w:tcPr>
          <w:p>
            <w:pPr>
              <w:spacing w:after="0"/>
              <w:rPr>
                <w:sz w:val="10"/>
                <w:szCs w:val="10"/>
                <w:color w:val="auto"/>
              </w:rPr>
            </w:pPr>
          </w:p>
        </w:tc>
        <w:tc>
          <w:tcPr>
            <w:tcW w:w="1000" w:type="dxa"/>
            <w:vAlign w:val="bottom"/>
            <w:tcBorders>
              <w:bottom w:val="single" w:sz="8" w:color="CBCBCB"/>
              <w:right w:val="single" w:sz="8" w:color="DDDDDD"/>
            </w:tcBorders>
          </w:tcPr>
          <w:p>
            <w:pPr>
              <w:spacing w:after="0"/>
              <w:rPr>
                <w:sz w:val="10"/>
                <w:szCs w:val="10"/>
                <w:color w:val="auto"/>
              </w:rPr>
            </w:pPr>
          </w:p>
        </w:tc>
        <w:tc>
          <w:tcPr>
            <w:tcW w:w="1060" w:type="dxa"/>
            <w:vAlign w:val="bottom"/>
            <w:tcBorders>
              <w:bottom w:val="single" w:sz="8" w:color="CBCBCB"/>
            </w:tcBorders>
          </w:tcPr>
          <w:p>
            <w:pPr>
              <w:spacing w:after="0"/>
              <w:rPr>
                <w:sz w:val="10"/>
                <w:szCs w:val="10"/>
                <w:color w:val="auto"/>
              </w:rPr>
            </w:pPr>
          </w:p>
        </w:tc>
        <w:tc>
          <w:tcPr>
            <w:tcW w:w="960" w:type="dxa"/>
            <w:vAlign w:val="bottom"/>
            <w:tcBorders>
              <w:bottom w:val="single" w:sz="8" w:color="CBCBCB"/>
            </w:tcBorders>
          </w:tcPr>
          <w:p>
            <w:pPr>
              <w:spacing w:after="0"/>
              <w:rPr>
                <w:sz w:val="10"/>
                <w:szCs w:val="10"/>
                <w:color w:val="auto"/>
              </w:rPr>
            </w:pPr>
          </w:p>
        </w:tc>
        <w:tc>
          <w:tcPr>
            <w:tcW w:w="1000" w:type="dxa"/>
            <w:vAlign w:val="bottom"/>
            <w:tcBorders>
              <w:bottom w:val="single" w:sz="8" w:color="CBCBCB"/>
              <w:right w:val="single" w:sz="8" w:color="DDDDDD"/>
            </w:tcBorders>
          </w:tcPr>
          <w:p>
            <w:pPr>
              <w:spacing w:after="0"/>
              <w:rPr>
                <w:sz w:val="10"/>
                <w:szCs w:val="10"/>
                <w:color w:val="auto"/>
              </w:rPr>
            </w:pPr>
          </w:p>
        </w:tc>
        <w:tc>
          <w:tcPr>
            <w:tcW w:w="1060" w:type="dxa"/>
            <w:vAlign w:val="bottom"/>
            <w:tcBorders>
              <w:bottom w:val="single" w:sz="8" w:color="CBCBCB"/>
            </w:tcBorders>
          </w:tcPr>
          <w:p>
            <w:pPr>
              <w:spacing w:after="0"/>
              <w:rPr>
                <w:sz w:val="10"/>
                <w:szCs w:val="10"/>
                <w:color w:val="auto"/>
              </w:rPr>
            </w:pPr>
          </w:p>
        </w:tc>
        <w:tc>
          <w:tcPr>
            <w:tcW w:w="960" w:type="dxa"/>
            <w:vAlign w:val="bottom"/>
            <w:tcBorders>
              <w:bottom w:val="single" w:sz="8" w:color="CBCBCB"/>
            </w:tcBorders>
          </w:tcPr>
          <w:p>
            <w:pPr>
              <w:spacing w:after="0"/>
              <w:rPr>
                <w:sz w:val="10"/>
                <w:szCs w:val="10"/>
                <w:color w:val="auto"/>
              </w:rPr>
            </w:pPr>
          </w:p>
        </w:tc>
        <w:tc>
          <w:tcPr>
            <w:tcW w:w="1000" w:type="dxa"/>
            <w:vAlign w:val="bottom"/>
            <w:tcBorders>
              <w:bottom w:val="single" w:sz="8" w:color="CBCBCB"/>
              <w:right w:val="single" w:sz="8" w:color="DDDDDD"/>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140" w:type="dxa"/>
            <w:vAlign w:val="bottom"/>
            <w:tcBorders>
              <w:right w:val="single" w:sz="8" w:color="DDDDDD"/>
            </w:tcBorders>
          </w:tcPr>
          <w:p>
            <w:pPr>
              <w:spacing w:after="0"/>
              <w:rPr>
                <w:sz w:val="17"/>
                <w:szCs w:val="17"/>
                <w:color w:val="auto"/>
              </w:rPr>
            </w:pPr>
          </w:p>
        </w:tc>
        <w:tc>
          <w:tcPr>
            <w:tcW w:w="108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color w:val="auto"/>
              </w:rPr>
              <w:t>Threshold</w:t>
            </w:r>
          </w:p>
        </w:tc>
        <w:tc>
          <w:tcPr>
            <w:tcW w:w="96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color w:val="auto"/>
              </w:rPr>
              <w:t>Target</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color w:val="auto"/>
              </w:rPr>
              <w:t>Maximum</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color w:val="auto"/>
              </w:rPr>
              <w:t>Threshold</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color w:val="auto"/>
              </w:rPr>
              <w:t>Target</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color w:val="auto"/>
              </w:rPr>
              <w:t>Maximum</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color w:val="auto"/>
              </w:rPr>
              <w:t>Threshold</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color w:val="auto"/>
              </w:rPr>
              <w:t>Target</w:t>
            </w:r>
          </w:p>
        </w:tc>
        <w:tc>
          <w:tcPr>
            <w:tcW w:w="100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293"/>
        </w:trPr>
        <w:tc>
          <w:tcPr>
            <w:tcW w:w="2140" w:type="dxa"/>
            <w:vAlign w:val="bottom"/>
            <w:tcBorders>
              <w:right w:val="single" w:sz="8" w:color="DDDDD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NEO</w:t>
            </w:r>
          </w:p>
        </w:tc>
        <w:tc>
          <w:tcPr>
            <w:tcW w:w="108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i w:val="1"/>
                <w:iCs w:val="1"/>
                <w:color w:val="auto"/>
              </w:rPr>
              <w:t>(50%)</w:t>
            </w:r>
          </w:p>
        </w:tc>
        <w:tc>
          <w:tcPr>
            <w:tcW w:w="96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i w:val="1"/>
                <w:iCs w:val="1"/>
                <w:color w:val="auto"/>
              </w:rPr>
              <w:t>(100%)</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i w:val="1"/>
                <w:iCs w:val="1"/>
                <w:color w:val="auto"/>
              </w:rPr>
              <w:t>(200%)</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i w:val="1"/>
                <w:iCs w:val="1"/>
                <w:color w:val="auto"/>
              </w:rPr>
              <w:t>(50%)</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i w:val="1"/>
                <w:iCs w:val="1"/>
                <w:color w:val="auto"/>
              </w:rPr>
              <w:t>(100%)</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4"/>
                <w:szCs w:val="14"/>
                <w:i w:val="1"/>
                <w:iCs w:val="1"/>
                <w:color w:val="auto"/>
              </w:rPr>
              <w:t>(200%)</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i w:val="1"/>
                <w:iCs w:val="1"/>
                <w:color w:val="auto"/>
              </w:rPr>
              <w:t>(50%)</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i w:val="1"/>
                <w:iCs w:val="1"/>
                <w:color w:val="auto"/>
              </w:rPr>
              <w:t>(100%)</w:t>
            </w:r>
          </w:p>
        </w:tc>
        <w:tc>
          <w:tcPr>
            <w:tcW w:w="100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4"/>
                <w:szCs w:val="14"/>
                <w:i w:val="1"/>
                <w:iCs w:val="1"/>
                <w:color w:val="auto"/>
              </w:rPr>
              <w:t>(200%)</w:t>
            </w:r>
          </w:p>
        </w:tc>
        <w:tc>
          <w:tcPr>
            <w:tcW w:w="0" w:type="dxa"/>
            <w:vAlign w:val="bottom"/>
          </w:tcPr>
          <w:p>
            <w:pPr>
              <w:spacing w:after="0"/>
              <w:rPr>
                <w:sz w:val="1"/>
                <w:szCs w:val="1"/>
                <w:color w:val="auto"/>
              </w:rPr>
            </w:pPr>
          </w:p>
        </w:tc>
      </w:tr>
      <w:tr>
        <w:trPr>
          <w:trHeight w:val="237"/>
        </w:trPr>
        <w:tc>
          <w:tcPr>
            <w:tcW w:w="2140" w:type="dxa"/>
            <w:vAlign w:val="bottom"/>
            <w:tcBorders>
              <w:top w:val="single" w:sz="8" w:color="ADADAD"/>
              <w:right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1080" w:type="dxa"/>
            <w:vAlign w:val="bottom"/>
            <w:tcBorders>
              <w:top w:val="single" w:sz="8" w:color="ADADAD"/>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8,764</w:t>
            </w:r>
          </w:p>
        </w:tc>
        <w:tc>
          <w:tcPr>
            <w:tcW w:w="960" w:type="dxa"/>
            <w:vAlign w:val="bottom"/>
            <w:tcBorders>
              <w:top w:val="single" w:sz="8" w:color="ADADAD"/>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17,527</w:t>
            </w:r>
          </w:p>
        </w:tc>
        <w:tc>
          <w:tcPr>
            <w:tcW w:w="1000" w:type="dxa"/>
            <w:vAlign w:val="bottom"/>
            <w:tcBorders>
              <w:top w:val="single" w:sz="8" w:color="ADADAD"/>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35,054</w:t>
            </w:r>
          </w:p>
        </w:tc>
        <w:tc>
          <w:tcPr>
            <w:tcW w:w="1060" w:type="dxa"/>
            <w:vAlign w:val="bottom"/>
            <w:tcBorders>
              <w:top w:val="single" w:sz="8" w:color="ADADAD"/>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8,748</w:t>
            </w:r>
          </w:p>
        </w:tc>
        <w:tc>
          <w:tcPr>
            <w:tcW w:w="960" w:type="dxa"/>
            <w:vAlign w:val="bottom"/>
            <w:tcBorders>
              <w:top w:val="single" w:sz="8" w:color="ADADAD"/>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17,495</w:t>
            </w:r>
          </w:p>
        </w:tc>
        <w:tc>
          <w:tcPr>
            <w:tcW w:w="1000" w:type="dxa"/>
            <w:vAlign w:val="bottom"/>
            <w:tcBorders>
              <w:top w:val="single" w:sz="8" w:color="ADADAD"/>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34,990</w:t>
            </w:r>
          </w:p>
        </w:tc>
        <w:tc>
          <w:tcPr>
            <w:tcW w:w="1060" w:type="dxa"/>
            <w:vAlign w:val="bottom"/>
            <w:tcBorders>
              <w:top w:val="single" w:sz="8" w:color="ADADAD"/>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6,441</w:t>
            </w:r>
          </w:p>
        </w:tc>
        <w:tc>
          <w:tcPr>
            <w:tcW w:w="960" w:type="dxa"/>
            <w:vAlign w:val="bottom"/>
            <w:tcBorders>
              <w:top w:val="single" w:sz="8" w:color="ADADAD"/>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12,882</w:t>
            </w:r>
          </w:p>
        </w:tc>
        <w:tc>
          <w:tcPr>
            <w:tcW w:w="1000" w:type="dxa"/>
            <w:vAlign w:val="bottom"/>
            <w:tcBorders>
              <w:top w:val="single" w:sz="8" w:color="ADADAD"/>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25,764</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right w:val="single" w:sz="8" w:color="DDDDDD"/>
            </w:tcBorders>
          </w:tcPr>
          <w:p>
            <w:pPr>
              <w:spacing w:after="0"/>
              <w:rPr>
                <w:sz w:val="2"/>
                <w:szCs w:val="2"/>
                <w:color w:val="auto"/>
              </w:rPr>
            </w:pPr>
          </w:p>
        </w:tc>
        <w:tc>
          <w:tcPr>
            <w:tcW w:w="108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right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108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2,564</w:t>
            </w:r>
          </w:p>
        </w:tc>
        <w:tc>
          <w:tcPr>
            <w:tcW w:w="96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5,128</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10,256</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3,056</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6,112</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12,224</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2,305</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4,609</w:t>
            </w:r>
          </w:p>
        </w:tc>
        <w:tc>
          <w:tcPr>
            <w:tcW w:w="100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right w:val="single" w:sz="8" w:color="DDDDDD"/>
            </w:tcBorders>
          </w:tcPr>
          <w:p>
            <w:pPr>
              <w:spacing w:after="0"/>
              <w:rPr>
                <w:sz w:val="2"/>
                <w:szCs w:val="2"/>
                <w:color w:val="auto"/>
              </w:rPr>
            </w:pPr>
          </w:p>
        </w:tc>
        <w:tc>
          <w:tcPr>
            <w:tcW w:w="108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right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108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2,415</w:t>
            </w:r>
          </w:p>
        </w:tc>
        <w:tc>
          <w:tcPr>
            <w:tcW w:w="96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4,830</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9,660</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2,877</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5,754</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11,508</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2,305</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4,609</w:t>
            </w:r>
          </w:p>
        </w:tc>
        <w:tc>
          <w:tcPr>
            <w:tcW w:w="100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9,218</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right w:val="single" w:sz="8" w:color="DDDDDD"/>
            </w:tcBorders>
          </w:tcPr>
          <w:p>
            <w:pPr>
              <w:spacing w:after="0"/>
              <w:rPr>
                <w:sz w:val="2"/>
                <w:szCs w:val="2"/>
                <w:color w:val="auto"/>
              </w:rPr>
            </w:pPr>
          </w:p>
        </w:tc>
        <w:tc>
          <w:tcPr>
            <w:tcW w:w="108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right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Jeffery S. Sylvester</w:t>
            </w:r>
          </w:p>
        </w:tc>
        <w:tc>
          <w:tcPr>
            <w:tcW w:w="108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1,703</w:t>
            </w:r>
          </w:p>
        </w:tc>
        <w:tc>
          <w:tcPr>
            <w:tcW w:w="96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3,405</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6,810</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1,652</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3,303</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6,606</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1,189</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2,378</w:t>
            </w:r>
          </w:p>
        </w:tc>
        <w:tc>
          <w:tcPr>
            <w:tcW w:w="100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right w:val="single" w:sz="8" w:color="DDDDDD"/>
            </w:tcBorders>
          </w:tcPr>
          <w:p>
            <w:pPr>
              <w:spacing w:after="0"/>
              <w:rPr>
                <w:sz w:val="2"/>
                <w:szCs w:val="2"/>
                <w:color w:val="auto"/>
              </w:rPr>
            </w:pPr>
          </w:p>
        </w:tc>
        <w:tc>
          <w:tcPr>
            <w:tcW w:w="108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Borders>
              <w:right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108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1,173</w:t>
            </w:r>
          </w:p>
        </w:tc>
        <w:tc>
          <w:tcPr>
            <w:tcW w:w="96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2,345</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4,690</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1,362</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2,724</w:t>
            </w:r>
          </w:p>
        </w:tc>
        <w:tc>
          <w:tcPr>
            <w:tcW w:w="1000" w:type="dxa"/>
            <w:vAlign w:val="bottom"/>
            <w:tcBorders>
              <w:right w:val="single" w:sz="8" w:color="DDDDDD"/>
            </w:tcBorders>
          </w:tcPr>
          <w:p>
            <w:pPr>
              <w:jc w:val="right"/>
              <w:ind w:right="75"/>
              <w:spacing w:after="0"/>
              <w:rPr>
                <w:sz w:val="20"/>
                <w:szCs w:val="20"/>
                <w:color w:val="auto"/>
              </w:rPr>
            </w:pPr>
            <w:r>
              <w:rPr>
                <w:rFonts w:ascii="Times New Roman" w:cs="Times New Roman" w:eastAsia="Times New Roman" w:hAnsi="Times New Roman"/>
                <w:sz w:val="18"/>
                <w:szCs w:val="18"/>
                <w:color w:val="auto"/>
              </w:rPr>
              <w:t>5,448</w:t>
            </w:r>
          </w:p>
        </w:tc>
        <w:tc>
          <w:tcPr>
            <w:tcW w:w="10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1,018</w:t>
            </w:r>
          </w:p>
        </w:tc>
        <w:tc>
          <w:tcPr>
            <w:tcW w:w="96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2,035</w:t>
            </w:r>
          </w:p>
        </w:tc>
        <w:tc>
          <w:tcPr>
            <w:tcW w:w="1000" w:type="dxa"/>
            <w:vAlign w:val="bottom"/>
            <w:tcBorders>
              <w:right w:val="single" w:sz="8" w:color="DDDDDD"/>
            </w:tcBorders>
          </w:tcPr>
          <w:p>
            <w:pPr>
              <w:jc w:val="right"/>
              <w:ind w:right="55"/>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right w:val="single" w:sz="8" w:color="DDDDDD"/>
            </w:tcBorders>
          </w:tcPr>
          <w:p>
            <w:pPr>
              <w:spacing w:after="0"/>
              <w:rPr>
                <w:sz w:val="2"/>
                <w:szCs w:val="2"/>
                <w:color w:val="auto"/>
              </w:rPr>
            </w:pPr>
          </w:p>
        </w:tc>
        <w:tc>
          <w:tcPr>
            <w:tcW w:w="108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1060" w:type="dxa"/>
            <w:vAlign w:val="bottom"/>
            <w:tcBorders>
              <w:bottom w:val="single" w:sz="8" w:color="DDDDDD"/>
              <w:right w:val="single" w:sz="8" w:color="DDDDDD"/>
            </w:tcBorders>
          </w:tcPr>
          <w:p>
            <w:pPr>
              <w:spacing w:after="0"/>
              <w:rPr>
                <w:sz w:val="2"/>
                <w:szCs w:val="2"/>
                <w:color w:val="auto"/>
              </w:rPr>
            </w:pPr>
          </w:p>
        </w:tc>
        <w:tc>
          <w:tcPr>
            <w:tcW w:w="960" w:type="dxa"/>
            <w:vAlign w:val="bottom"/>
            <w:tcBorders>
              <w:bottom w:val="single" w:sz="8" w:color="DDDDDD"/>
              <w:right w:val="single" w:sz="8" w:color="DDDDDD"/>
            </w:tcBorders>
          </w:tcPr>
          <w:p>
            <w:pPr>
              <w:spacing w:after="0"/>
              <w:rPr>
                <w:sz w:val="2"/>
                <w:szCs w:val="2"/>
                <w:color w:val="auto"/>
              </w:rPr>
            </w:pPr>
          </w:p>
        </w:tc>
        <w:tc>
          <w:tcPr>
            <w:tcW w:w="1000" w:type="dxa"/>
            <w:vAlign w:val="bottom"/>
            <w:tcBorders>
              <w:bottom w:val="single" w:sz="8" w:color="DDDDDD"/>
              <w:right w:val="single" w:sz="8" w:color="DDDDD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80" w:hanging="72"/>
        <w:spacing w:after="0"/>
        <w:tabs>
          <w:tab w:leader="none" w:pos="83" w:val="left"/>
        </w:tabs>
        <w:numPr>
          <w:ilvl w:val="0"/>
          <w:numId w:val="4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Compensation Committee is authorized to grant equity incentive awards to NEOs under the 2023 SICP. The Company’s long-term incentive awards for the 2023-2025, 2024-2026, and 2025-2027 performance periods are 100% performance-based. The payout opportunity as a percent of the target award for the Growth in Long-term Earnings and ROE performance components is 0% (minimum), 50% (threshold), 100% (target) and 200% (maximum). A TSR modifier of +/- 20% will be applied to each NEO's total achievement of the performance components for the 2024-2026 and 2025-2027 performance periods. Please refer to the 2023 Equity Incentive Awards section in this Proxy Statement for additional details on the 2023-2025 performance period.</w:t>
      </w:r>
    </w:p>
    <w:p>
      <w:pPr>
        <w:spacing w:after="0" w:line="3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Equity Incentive Awards. </w:t>
      </w:r>
      <w:r>
        <w:rPr>
          <w:rFonts w:ascii="Times New Roman" w:cs="Times New Roman" w:eastAsia="Times New Roman" w:hAnsi="Times New Roman"/>
          <w:sz w:val="18"/>
          <w:szCs w:val="18"/>
          <w:color w:val="auto"/>
        </w:rPr>
        <w:t>In February 2025, after consideration and approval by the Board, the Compensation Committee granted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equity incentive awards to each NEO for the January 1, 2025 through December 31, 2027 performance period:</w:t>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 INCENTIVE AWARD OPPORTUNITY FOR THE 2025-2027 PERFORMANCE PERIOD</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840" w:type="dxa"/>
            <w:vAlign w:val="bottom"/>
            <w:vMerge w:val="restart"/>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Base Salary</w:t>
            </w: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vMerge w:val="restart"/>
          </w:tcPr>
          <w:p>
            <w:pPr>
              <w:jc w:val="right"/>
              <w:ind w:right="531"/>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Adjusted Closing</w:t>
            </w:r>
          </w:p>
        </w:tc>
        <w:tc>
          <w:tcPr>
            <w:tcW w:w="1620" w:type="dxa"/>
            <w:vAlign w:val="bottom"/>
            <w:vMerge w:val="restart"/>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0" w:type="dxa"/>
            <w:vAlign w:val="bottom"/>
          </w:tcPr>
          <w:p>
            <w:pPr>
              <w:spacing w:after="0"/>
              <w:rPr>
                <w:sz w:val="1"/>
                <w:szCs w:val="1"/>
                <w:color w:val="auto"/>
              </w:rPr>
            </w:pPr>
          </w:p>
        </w:tc>
      </w:tr>
      <w:tr>
        <w:trPr>
          <w:trHeight w:val="188"/>
        </w:trPr>
        <w:tc>
          <w:tcPr>
            <w:tcW w:w="22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NEO</w:t>
            </w:r>
          </w:p>
        </w:tc>
        <w:tc>
          <w:tcPr>
            <w:tcW w:w="1840" w:type="dxa"/>
            <w:vAlign w:val="bottom"/>
            <w:vMerge w:val="continue"/>
          </w:tcPr>
          <w:p>
            <w:pPr>
              <w:spacing w:after="0"/>
              <w:rPr>
                <w:sz w:val="16"/>
                <w:szCs w:val="16"/>
                <w:color w:val="auto"/>
              </w:rPr>
            </w:pPr>
          </w:p>
        </w:tc>
        <w:tc>
          <w:tcPr>
            <w:tcW w:w="18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Opportunity</w:t>
            </w:r>
          </w:p>
        </w:tc>
        <w:tc>
          <w:tcPr>
            <w:tcW w:w="5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94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rPr>
              <w:t xml:space="preserve">Stock Price </w:t>
            </w:r>
            <w:r>
              <w:rPr>
                <w:rFonts w:ascii="Times New Roman" w:cs="Times New Roman" w:eastAsia="Times New Roman" w:hAnsi="Times New Roman"/>
                <w:sz w:val="14"/>
                <w:szCs w:val="14"/>
                <w:color w:val="auto"/>
              </w:rPr>
              <w:t>(11/1/2024-</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Borders>
              <w:bottom w:val="single" w:sz="8" w:color="929292"/>
            </w:tcBorders>
            <w:vMerge w:val="continue"/>
          </w:tcPr>
          <w:p>
            <w:pPr>
              <w:spacing w:after="0"/>
              <w:rPr>
                <w:sz w:val="17"/>
                <w:szCs w:val="17"/>
                <w:color w:val="auto"/>
              </w:rPr>
            </w:pPr>
          </w:p>
        </w:tc>
        <w:tc>
          <w:tcPr>
            <w:tcW w:w="1840" w:type="dxa"/>
            <w:vAlign w:val="bottom"/>
            <w:tcBorders>
              <w:bottom w:val="single" w:sz="8" w:color="929292"/>
            </w:tcBorders>
          </w:tcPr>
          <w:p>
            <w:pPr>
              <w:jc w:val="center"/>
              <w:ind w:left="133"/>
              <w:spacing w:after="0"/>
              <w:rPr>
                <w:sz w:val="20"/>
                <w:szCs w:val="20"/>
                <w:color w:val="auto"/>
              </w:rPr>
            </w:pPr>
            <w:r>
              <w:rPr>
                <w:rFonts w:ascii="Times New Roman" w:cs="Times New Roman" w:eastAsia="Times New Roman" w:hAnsi="Times New Roman"/>
                <w:sz w:val="14"/>
                <w:szCs w:val="14"/>
                <w:color w:val="auto"/>
              </w:rPr>
              <w:t>(at 4/1/2025)</w:t>
            </w:r>
          </w:p>
        </w:tc>
        <w:tc>
          <w:tcPr>
            <w:tcW w:w="184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4"/>
                <w:szCs w:val="14"/>
                <w:color w:val="auto"/>
              </w:rPr>
              <w:t>(% of Base Salary)</w:t>
            </w:r>
          </w:p>
        </w:tc>
        <w:tc>
          <w:tcPr>
            <w:tcW w:w="1700" w:type="dxa"/>
            <w:vAlign w:val="bottom"/>
            <w:tcBorders>
              <w:bottom w:val="single" w:sz="8" w:color="929292"/>
            </w:tcBorders>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Equity Value</w:t>
            </w:r>
          </w:p>
        </w:tc>
        <w:tc>
          <w:tcPr>
            <w:tcW w:w="194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4"/>
                <w:szCs w:val="14"/>
                <w:color w:val="auto"/>
              </w:rPr>
              <w:t>12/31/2024)</w:t>
            </w:r>
          </w:p>
        </w:tc>
        <w:tc>
          <w:tcPr>
            <w:tcW w:w="1620" w:type="dxa"/>
            <w:vAlign w:val="bottom"/>
            <w:tcBorders>
              <w:bottom w:val="single" w:sz="8" w:color="929292"/>
            </w:tcBorders>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w w:val="99"/>
              </w:rPr>
              <w:t>Equity Shares</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Jeffry M. Householder</w:t>
            </w:r>
          </w:p>
        </w:tc>
        <w:tc>
          <w:tcPr>
            <w:tcW w:w="18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7"/>
              </w:rPr>
              <w:t>$880,000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2,200,000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$125.52</w:t>
            </w:r>
          </w:p>
        </w:tc>
        <w:tc>
          <w:tcPr>
            <w:tcW w:w="1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17,527</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16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Beth W. Cooper</w:t>
            </w:r>
          </w:p>
        </w:tc>
        <w:tc>
          <w:tcPr>
            <w:tcW w:w="18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7"/>
              </w:rPr>
              <w:t>$515,000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643,750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$125.52</w:t>
            </w:r>
          </w:p>
        </w:tc>
        <w:tc>
          <w:tcPr>
            <w:tcW w:w="1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16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James F. Moriarty</w:t>
            </w:r>
          </w:p>
        </w:tc>
        <w:tc>
          <w:tcPr>
            <w:tcW w:w="18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7"/>
              </w:rPr>
              <w:t>$485,000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606,250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$125.52</w:t>
            </w:r>
          </w:p>
        </w:tc>
        <w:tc>
          <w:tcPr>
            <w:tcW w:w="1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16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Jeffrey S. Sylvester</w:t>
            </w:r>
          </w:p>
        </w:tc>
        <w:tc>
          <w:tcPr>
            <w:tcW w:w="18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7"/>
              </w:rPr>
              <w:t>$475,000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427,500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$125.52</w:t>
            </w:r>
          </w:p>
        </w:tc>
        <w:tc>
          <w:tcPr>
            <w:tcW w:w="1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16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Kevin J. Webber</w:t>
            </w:r>
          </w:p>
        </w:tc>
        <w:tc>
          <w:tcPr>
            <w:tcW w:w="184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7"/>
              </w:rPr>
              <w:t>$368,000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294,400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$125.52</w:t>
            </w:r>
          </w:p>
        </w:tc>
        <w:tc>
          <w:tcPr>
            <w:tcW w:w="16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184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1940" w:type="dxa"/>
            <w:vAlign w:val="bottom"/>
            <w:tcBorders>
              <w:bottom w:val="single" w:sz="8" w:color="DBDBDB"/>
            </w:tcBorders>
          </w:tcPr>
          <w:p>
            <w:pPr>
              <w:spacing w:after="0"/>
              <w:rPr>
                <w:sz w:val="2"/>
                <w:szCs w:val="2"/>
                <w:color w:val="auto"/>
              </w:rPr>
            </w:pPr>
          </w:p>
        </w:tc>
        <w:tc>
          <w:tcPr>
            <w:tcW w:w="16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The performance peer group used to measure performance for the 2025-2027 performance period is described under the </w:t>
      </w:r>
      <w:r>
        <w:rPr>
          <w:rFonts w:ascii="Times New Roman" w:cs="Times New Roman" w:eastAsia="Times New Roman" w:hAnsi="Times New Roman"/>
          <w:sz w:val="18"/>
          <w:szCs w:val="18"/>
          <w:i w:val="1"/>
          <w:iCs w:val="1"/>
          <w:color w:val="auto"/>
        </w:rPr>
        <w:t>Companies in Our Peer Group</w:t>
      </w:r>
      <w:r>
        <w:rPr>
          <w:rFonts w:ascii="Times New Roman" w:cs="Times New Roman" w:eastAsia="Times New Roman" w:hAnsi="Times New Roman"/>
          <w:sz w:val="18"/>
          <w:szCs w:val="18"/>
          <w:color w:val="auto"/>
        </w:rPr>
        <w:t xml:space="preserve"> section in this Proxy Statement. The performance share agreement applicable to these awards is filed as Exhibit 10.26 of our Annual Report on Form 10-K for the period ended December 31,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9" w:name="page40"/>
    <w:bookmarkEnd w:id="39"/>
    <w:p>
      <w:pPr>
        <w:jc w:val="both"/>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2023 Equity Incentive Awards. </w:t>
      </w:r>
      <w:r>
        <w:rPr>
          <w:rFonts w:ascii="Times New Roman" w:cs="Times New Roman" w:eastAsia="Times New Roman" w:hAnsi="Times New Roman"/>
          <w:sz w:val="18"/>
          <w:szCs w:val="18"/>
          <w:color w:val="auto"/>
        </w:rPr>
        <w:t>The 2023 Equity Incentive Awards were granted for performance over the three-year period from January 1, 2023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These awards vested in 2025. The Compensation Committee met in February 2026 to review the extent to which the NEOs earned the awards. During the performance period, with respect to the Growth in Long-Term Earnings component, total capital expenditures as a percentage of total capitalization for the Company was at the 100th percentile of our peer group. For the purposes of calculating the Earnings Performance component, the average ROE for the three years ended December 31, 2025 for the Company, excluding Florida City Gas, was 11.31%, which represented the 89th percentile. With respect to the TSR component, our TSR for the three years ended December 31, 2025 was 19.77%, which represented the 58th percentile compared to the peer companies’ TSR for the same period. The NEOs received a payout of 200% of the target for the Growth in Long-Term Earnings component, 182.8% of the target for the ROE component, and 100% of the target for the TSR component. The shares received for the performance-based equity incentive awards comprised between 40% and 57% of total direct compensation for each named executive officer and were approximately 164% of each NEO’s respective target opportunity based on performance over the period from January 1, 2023 through December 31, 2025 as reflected in the table below. In addition, dividends on equity incentive awards that vest based upon achievement of performance goals accrue in the form of dividend equivalents during the performance period and are paid to the respective executive only on actual shares earned, if any.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ACHIEVEMENT OF 2023 EQUITY INCENTIVE AWARDS FOR THE 2023-2025 PERFORMANCE PERIOD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Growth in</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ROE</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TSR</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NEO</w:t>
            </w:r>
          </w:p>
        </w:tc>
        <w:tc>
          <w:tcPr>
            <w:tcW w:w="19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Target Shares</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Long-Term Earnings</w:t>
            </w:r>
          </w:p>
        </w:tc>
        <w:tc>
          <w:tcPr>
            <w:tcW w:w="16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Actual Payout</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ADADAD"/>
            </w:tcBorders>
            <w:vMerge w:val="continue"/>
          </w:tcPr>
          <w:p>
            <w:pPr>
              <w:spacing w:after="0"/>
              <w:rPr>
                <w:sz w:val="16"/>
                <w:szCs w:val="16"/>
                <w:color w:val="auto"/>
              </w:rPr>
            </w:pPr>
          </w:p>
        </w:tc>
        <w:tc>
          <w:tcPr>
            <w:tcW w:w="1940" w:type="dxa"/>
            <w:vAlign w:val="bottom"/>
            <w:tcBorders>
              <w:bottom w:val="single" w:sz="8" w:color="ADADAD"/>
            </w:tcBorders>
            <w:vMerge w:val="continue"/>
          </w:tcPr>
          <w:p>
            <w:pPr>
              <w:spacing w:after="0"/>
              <w:rPr>
                <w:sz w:val="16"/>
                <w:szCs w:val="16"/>
                <w:color w:val="auto"/>
              </w:rPr>
            </w:pPr>
          </w:p>
        </w:tc>
        <w:tc>
          <w:tcPr>
            <w:tcW w:w="2260" w:type="dxa"/>
            <w:vAlign w:val="bottom"/>
            <w:tcBorders>
              <w:bottom w:val="single" w:sz="8" w:color="ADADAD"/>
            </w:tcBorders>
          </w:tcPr>
          <w:p>
            <w:pPr>
              <w:jc w:val="center"/>
              <w:spacing w:after="0"/>
              <w:rPr>
                <w:sz w:val="20"/>
                <w:szCs w:val="20"/>
                <w:color w:val="auto"/>
              </w:rPr>
            </w:pPr>
            <w:r>
              <w:rPr>
                <w:rFonts w:ascii="Times New Roman" w:cs="Times New Roman" w:eastAsia="Times New Roman" w:hAnsi="Times New Roman"/>
                <w:sz w:val="14"/>
                <w:szCs w:val="14"/>
                <w:color w:val="auto"/>
              </w:rPr>
              <w:t>(35% Weighting)</w:t>
            </w:r>
          </w:p>
        </w:tc>
        <w:tc>
          <w:tcPr>
            <w:tcW w:w="1600" w:type="dxa"/>
            <w:vAlign w:val="bottom"/>
            <w:tcBorders>
              <w:bottom w:val="single" w:sz="8" w:color="ADADAD"/>
            </w:tcBorders>
          </w:tcPr>
          <w:p>
            <w:pPr>
              <w:jc w:val="center"/>
              <w:spacing w:after="0"/>
              <w:rPr>
                <w:sz w:val="20"/>
                <w:szCs w:val="20"/>
                <w:color w:val="auto"/>
              </w:rPr>
            </w:pPr>
            <w:r>
              <w:rPr>
                <w:rFonts w:ascii="Times New Roman" w:cs="Times New Roman" w:eastAsia="Times New Roman" w:hAnsi="Times New Roman"/>
                <w:sz w:val="14"/>
                <w:szCs w:val="14"/>
                <w:color w:val="auto"/>
              </w:rPr>
              <w:t>(35% Weighting)</w:t>
            </w:r>
          </w:p>
        </w:tc>
        <w:tc>
          <w:tcPr>
            <w:tcW w:w="1600" w:type="dxa"/>
            <w:vAlign w:val="bottom"/>
            <w:tcBorders>
              <w:bottom w:val="single" w:sz="8" w:color="ADADAD"/>
            </w:tcBorders>
          </w:tcPr>
          <w:p>
            <w:pPr>
              <w:jc w:val="center"/>
              <w:spacing w:after="0"/>
              <w:rPr>
                <w:sz w:val="20"/>
                <w:szCs w:val="20"/>
                <w:color w:val="auto"/>
              </w:rPr>
            </w:pPr>
            <w:r>
              <w:rPr>
                <w:rFonts w:ascii="Times New Roman" w:cs="Times New Roman" w:eastAsia="Times New Roman" w:hAnsi="Times New Roman"/>
                <w:sz w:val="14"/>
                <w:szCs w:val="14"/>
                <w:color w:val="auto"/>
              </w:rPr>
              <w:t>(30% Weighting)</w:t>
            </w:r>
          </w:p>
        </w:tc>
        <w:tc>
          <w:tcPr>
            <w:tcW w:w="1560" w:type="dxa"/>
            <w:vAlign w:val="bottom"/>
            <w:tcBorders>
              <w:bottom w:val="single" w:sz="8" w:color="ADADA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1940" w:type="dxa"/>
            <w:vAlign w:val="bottom"/>
            <w:tcBorders>
              <w:right w:val="single" w:sz="8" w:color="DBDBDB"/>
            </w:tcBorders>
          </w:tcPr>
          <w:p>
            <w:pPr>
              <w:jc w:val="center"/>
              <w:ind w:left="230"/>
              <w:spacing w:after="0"/>
              <w:rPr>
                <w:sz w:val="20"/>
                <w:szCs w:val="20"/>
                <w:color w:val="auto"/>
              </w:rPr>
            </w:pPr>
            <w:r>
              <w:rPr>
                <w:rFonts w:ascii="Times New Roman" w:cs="Times New Roman" w:eastAsia="Times New Roman" w:hAnsi="Times New Roman"/>
                <w:sz w:val="18"/>
                <w:szCs w:val="18"/>
                <w:color w:val="auto"/>
              </w:rPr>
              <w:t>12,882</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9,017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8,242</w:t>
            </w:r>
          </w:p>
        </w:tc>
        <w:tc>
          <w:tcPr>
            <w:tcW w:w="160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98"/>
              </w:rPr>
              <w:t>3,864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21,123</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940" w:type="dxa"/>
            <w:vAlign w:val="bottom"/>
            <w:tcBorders>
              <w:bottom w:val="single" w:sz="8" w:color="DBDBDB"/>
              <w:right w:val="single" w:sz="8" w:color="DBDBDB"/>
            </w:tcBorders>
          </w:tcPr>
          <w:p>
            <w:pPr>
              <w:spacing w:after="0"/>
              <w:rPr>
                <w:sz w:val="2"/>
                <w:szCs w:val="2"/>
                <w:color w:val="auto"/>
              </w:rPr>
            </w:pPr>
          </w:p>
        </w:tc>
        <w:tc>
          <w:tcPr>
            <w:tcW w:w="22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600" w:type="dxa"/>
            <w:vAlign w:val="bottom"/>
            <w:tcBorders>
              <w:bottom w:val="single" w:sz="8" w:color="DBDBDB"/>
              <w:right w:val="single" w:sz="8" w:color="DBDBDB"/>
            </w:tcBorders>
          </w:tcPr>
          <w:p>
            <w:pPr>
              <w:spacing w:after="0"/>
              <w:rPr>
                <w:sz w:val="2"/>
                <w:szCs w:val="2"/>
                <w:color w:val="auto"/>
              </w:rPr>
            </w:pPr>
          </w:p>
        </w:tc>
        <w:tc>
          <w:tcPr>
            <w:tcW w:w="15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1940" w:type="dxa"/>
            <w:vAlign w:val="bottom"/>
            <w:tcBorders>
              <w:right w:val="single" w:sz="8" w:color="DBDBDB"/>
            </w:tcBorders>
          </w:tcPr>
          <w:p>
            <w:pPr>
              <w:jc w:val="center"/>
              <w:ind w:left="230"/>
              <w:spacing w:after="0"/>
              <w:rPr>
                <w:sz w:val="20"/>
                <w:szCs w:val="20"/>
                <w:color w:val="auto"/>
              </w:rPr>
            </w:pPr>
            <w:r>
              <w:rPr>
                <w:rFonts w:ascii="Times New Roman" w:cs="Times New Roman" w:eastAsia="Times New Roman" w:hAnsi="Times New Roman"/>
                <w:sz w:val="18"/>
                <w:szCs w:val="18"/>
                <w:color w:val="auto"/>
              </w:rPr>
              <w:t>4,609</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2,948</w:t>
            </w:r>
          </w:p>
        </w:tc>
        <w:tc>
          <w:tcPr>
            <w:tcW w:w="160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98"/>
              </w:rPr>
              <w:t>1,383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7,557</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940" w:type="dxa"/>
            <w:vAlign w:val="bottom"/>
            <w:tcBorders>
              <w:bottom w:val="single" w:sz="8" w:color="DBDBDB"/>
              <w:right w:val="single" w:sz="8" w:color="DBDBDB"/>
            </w:tcBorders>
          </w:tcPr>
          <w:p>
            <w:pPr>
              <w:spacing w:after="0"/>
              <w:rPr>
                <w:sz w:val="2"/>
                <w:szCs w:val="2"/>
                <w:color w:val="auto"/>
              </w:rPr>
            </w:pPr>
          </w:p>
        </w:tc>
        <w:tc>
          <w:tcPr>
            <w:tcW w:w="22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600" w:type="dxa"/>
            <w:vAlign w:val="bottom"/>
            <w:tcBorders>
              <w:bottom w:val="single" w:sz="8" w:color="DBDBDB"/>
              <w:right w:val="single" w:sz="8" w:color="DBDBDB"/>
            </w:tcBorders>
          </w:tcPr>
          <w:p>
            <w:pPr>
              <w:spacing w:after="0"/>
              <w:rPr>
                <w:sz w:val="2"/>
                <w:szCs w:val="2"/>
                <w:color w:val="auto"/>
              </w:rPr>
            </w:pPr>
          </w:p>
        </w:tc>
        <w:tc>
          <w:tcPr>
            <w:tcW w:w="15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1940" w:type="dxa"/>
            <w:vAlign w:val="bottom"/>
            <w:tcBorders>
              <w:right w:val="single" w:sz="8" w:color="DBDBDB"/>
            </w:tcBorders>
          </w:tcPr>
          <w:p>
            <w:pPr>
              <w:jc w:val="center"/>
              <w:ind w:left="230"/>
              <w:spacing w:after="0"/>
              <w:rPr>
                <w:sz w:val="20"/>
                <w:szCs w:val="20"/>
                <w:color w:val="auto"/>
              </w:rPr>
            </w:pPr>
            <w:r>
              <w:rPr>
                <w:rFonts w:ascii="Times New Roman" w:cs="Times New Roman" w:eastAsia="Times New Roman" w:hAnsi="Times New Roman"/>
                <w:sz w:val="18"/>
                <w:szCs w:val="18"/>
                <w:color w:val="auto"/>
              </w:rPr>
              <w:t>4,609</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2,948</w:t>
            </w:r>
          </w:p>
        </w:tc>
        <w:tc>
          <w:tcPr>
            <w:tcW w:w="160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98"/>
              </w:rPr>
              <w:t>1,383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7,557</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940" w:type="dxa"/>
            <w:vAlign w:val="bottom"/>
            <w:tcBorders>
              <w:bottom w:val="single" w:sz="8" w:color="DBDBDB"/>
              <w:right w:val="single" w:sz="8" w:color="DBDBDB"/>
            </w:tcBorders>
          </w:tcPr>
          <w:p>
            <w:pPr>
              <w:spacing w:after="0"/>
              <w:rPr>
                <w:sz w:val="2"/>
                <w:szCs w:val="2"/>
                <w:color w:val="auto"/>
              </w:rPr>
            </w:pPr>
          </w:p>
        </w:tc>
        <w:tc>
          <w:tcPr>
            <w:tcW w:w="22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600" w:type="dxa"/>
            <w:vAlign w:val="bottom"/>
            <w:tcBorders>
              <w:bottom w:val="single" w:sz="8" w:color="DBDBDB"/>
              <w:right w:val="single" w:sz="8" w:color="DBDBDB"/>
            </w:tcBorders>
          </w:tcPr>
          <w:p>
            <w:pPr>
              <w:spacing w:after="0"/>
              <w:rPr>
                <w:sz w:val="2"/>
                <w:szCs w:val="2"/>
                <w:color w:val="auto"/>
              </w:rPr>
            </w:pPr>
          </w:p>
        </w:tc>
        <w:tc>
          <w:tcPr>
            <w:tcW w:w="15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1940" w:type="dxa"/>
            <w:vAlign w:val="bottom"/>
            <w:tcBorders>
              <w:right w:val="single" w:sz="8" w:color="DBDBDB"/>
            </w:tcBorders>
          </w:tcPr>
          <w:p>
            <w:pPr>
              <w:jc w:val="center"/>
              <w:ind w:left="230"/>
              <w:spacing w:after="0"/>
              <w:rPr>
                <w:sz w:val="20"/>
                <w:szCs w:val="20"/>
                <w:color w:val="auto"/>
              </w:rPr>
            </w:pPr>
            <w:r>
              <w:rPr>
                <w:rFonts w:ascii="Times New Roman" w:cs="Times New Roman" w:eastAsia="Times New Roman" w:hAnsi="Times New Roman"/>
                <w:sz w:val="18"/>
                <w:szCs w:val="18"/>
                <w:color w:val="auto"/>
              </w:rPr>
              <w:t>2,378</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1,521</w:t>
            </w:r>
          </w:p>
        </w:tc>
        <w:tc>
          <w:tcPr>
            <w:tcW w:w="160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rPr>
              <w:t>713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3,899</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940" w:type="dxa"/>
            <w:vAlign w:val="bottom"/>
            <w:tcBorders>
              <w:bottom w:val="single" w:sz="8" w:color="DBDBDB"/>
              <w:right w:val="single" w:sz="8" w:color="DBDBDB"/>
            </w:tcBorders>
          </w:tcPr>
          <w:p>
            <w:pPr>
              <w:spacing w:after="0"/>
              <w:rPr>
                <w:sz w:val="2"/>
                <w:szCs w:val="2"/>
                <w:color w:val="auto"/>
              </w:rPr>
            </w:pPr>
          </w:p>
        </w:tc>
        <w:tc>
          <w:tcPr>
            <w:tcW w:w="22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600" w:type="dxa"/>
            <w:vAlign w:val="bottom"/>
            <w:tcBorders>
              <w:bottom w:val="single" w:sz="8" w:color="DBDBDB"/>
              <w:right w:val="single" w:sz="8" w:color="DBDBDB"/>
            </w:tcBorders>
          </w:tcPr>
          <w:p>
            <w:pPr>
              <w:spacing w:after="0"/>
              <w:rPr>
                <w:sz w:val="2"/>
                <w:szCs w:val="2"/>
                <w:color w:val="auto"/>
              </w:rPr>
            </w:pPr>
          </w:p>
        </w:tc>
        <w:tc>
          <w:tcPr>
            <w:tcW w:w="15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1940" w:type="dxa"/>
            <w:vAlign w:val="bottom"/>
            <w:tcBorders>
              <w:right w:val="single" w:sz="8" w:color="DBDBDB"/>
            </w:tcBorders>
          </w:tcPr>
          <w:p>
            <w:pPr>
              <w:jc w:val="center"/>
              <w:ind w:left="230"/>
              <w:spacing w:after="0"/>
              <w:rPr>
                <w:sz w:val="20"/>
                <w:szCs w:val="20"/>
                <w:color w:val="auto"/>
              </w:rPr>
            </w:pPr>
            <w:r>
              <w:rPr>
                <w:rFonts w:ascii="Times New Roman" w:cs="Times New Roman" w:eastAsia="Times New Roman" w:hAnsi="Times New Roman"/>
                <w:sz w:val="18"/>
                <w:szCs w:val="18"/>
                <w:color w:val="auto"/>
              </w:rPr>
              <w:t>2,035</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1,424</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1,301</w:t>
            </w:r>
          </w:p>
        </w:tc>
        <w:tc>
          <w:tcPr>
            <w:tcW w:w="160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96"/>
              </w:rPr>
              <w:t>611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3,336</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BDBDB"/>
            </w:tcBorders>
          </w:tcPr>
          <w:p>
            <w:pPr>
              <w:spacing w:after="0"/>
              <w:rPr>
                <w:sz w:val="2"/>
                <w:szCs w:val="2"/>
                <w:color w:val="auto"/>
              </w:rPr>
            </w:pPr>
          </w:p>
        </w:tc>
        <w:tc>
          <w:tcPr>
            <w:tcW w:w="1940" w:type="dxa"/>
            <w:vAlign w:val="bottom"/>
            <w:tcBorders>
              <w:bottom w:val="single" w:sz="8" w:color="DBDBDB"/>
              <w:right w:val="single" w:sz="8" w:color="DBDBDB"/>
            </w:tcBorders>
          </w:tcPr>
          <w:p>
            <w:pPr>
              <w:spacing w:after="0"/>
              <w:rPr>
                <w:sz w:val="2"/>
                <w:szCs w:val="2"/>
                <w:color w:val="auto"/>
              </w:rPr>
            </w:pPr>
          </w:p>
        </w:tc>
        <w:tc>
          <w:tcPr>
            <w:tcW w:w="22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600" w:type="dxa"/>
            <w:vAlign w:val="bottom"/>
            <w:tcBorders>
              <w:bottom w:val="single" w:sz="8" w:color="DBDBDB"/>
              <w:right w:val="single" w:sz="8" w:color="DBDBDB"/>
            </w:tcBorders>
          </w:tcPr>
          <w:p>
            <w:pPr>
              <w:spacing w:after="0"/>
              <w:rPr>
                <w:sz w:val="2"/>
                <w:szCs w:val="2"/>
                <w:color w:val="auto"/>
              </w:rPr>
            </w:pPr>
          </w:p>
        </w:tc>
        <w:tc>
          <w:tcPr>
            <w:tcW w:w="15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-908050</wp:posOffset>
            </wp:positionV>
            <wp:extent cx="8890" cy="908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90868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-908050</wp:posOffset>
            </wp:positionV>
            <wp:extent cx="8255" cy="908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908685"/>
                    </a:xfrm>
                    <a:prstGeom prst="rect">
                      <a:avLst/>
                    </a:prstGeom>
                    <a:noFill/>
                  </pic:spPr>
                </pic:pic>
              </a:graphicData>
            </a:graphic>
          </wp:anchor>
        </w:drawing>
      </w:r>
    </w:p>
    <w:p>
      <w:pPr>
        <w:spacing w:after="0" w:line="77" w:lineRule="exact"/>
        <w:rPr>
          <w:sz w:val="20"/>
          <w:szCs w:val="20"/>
          <w:color w:val="auto"/>
        </w:rPr>
      </w:pPr>
    </w:p>
    <w:p>
      <w:pPr>
        <w:jc w:val="both"/>
        <w:ind w:left="80" w:hanging="72"/>
        <w:spacing w:after="0" w:line="227" w:lineRule="auto"/>
        <w:tabs>
          <w:tab w:leader="none" w:pos="69" w:val="left"/>
        </w:tabs>
        <w:numPr>
          <w:ilvl w:val="0"/>
          <w:numId w:val="43"/>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Dividends were accrued in the form of dividend equivalents on the same basis as dividends declared by the Board each calendar quarter during the applicable years and paid on the Company's common stock. The actual cash dividend received by each NEO was determined based upon the number of shares of common stock earned and issued to the executive for the performance period. The cash dividend amounts paid to the NEOs in 2026 for the 2023-2025 performance period are reflected in footnote 5 to the Summary Compensation 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Stock Vested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 February 2026, the Compensation Committee approved payouts associated with the 2023 Equity Incentive Awards for the NEOs as described above in the </w:t>
      </w:r>
      <w:r>
        <w:rPr>
          <w:rFonts w:ascii="Times New Roman" w:cs="Times New Roman" w:eastAsia="Times New Roman" w:hAnsi="Times New Roman"/>
          <w:sz w:val="18"/>
          <w:szCs w:val="18"/>
          <w:i w:val="1"/>
          <w:iCs w:val="1"/>
          <w:color w:val="auto"/>
        </w:rPr>
        <w:t>2023 Equity Incentive Awards</w:t>
      </w:r>
      <w:r>
        <w:rPr>
          <w:rFonts w:ascii="Times New Roman" w:cs="Times New Roman" w:eastAsia="Times New Roman" w:hAnsi="Times New Roman"/>
          <w:sz w:val="18"/>
          <w:szCs w:val="18"/>
          <w:color w:val="auto"/>
        </w:rPr>
        <w:t xml:space="preserve"> section in this Proxy Statement. These equity incentive awards vested in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 VESTED DURING 2025</w:t>
            </w:r>
          </w:p>
        </w:tc>
        <w:tc>
          <w:tcPr>
            <w:tcW w:w="2080" w:type="dxa"/>
            <w:vAlign w:val="bottom"/>
          </w:tcPr>
          <w:p>
            <w:pPr>
              <w:spacing w:after="0"/>
              <w:rPr>
                <w:sz w:val="20"/>
                <w:szCs w:val="20"/>
                <w:color w:val="auto"/>
              </w:rPr>
            </w:pPr>
          </w:p>
        </w:tc>
        <w:tc>
          <w:tcPr>
            <w:tcW w:w="232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0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Closing Stock</w:t>
            </w:r>
          </w:p>
        </w:tc>
        <w:tc>
          <w:tcPr>
            <w:tcW w:w="212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 Realized</w:t>
            </w:r>
          </w:p>
        </w:tc>
        <w:tc>
          <w:tcPr>
            <w:tcW w:w="0" w:type="dxa"/>
            <w:vAlign w:val="bottom"/>
          </w:tcPr>
          <w:p>
            <w:pPr>
              <w:spacing w:after="0"/>
              <w:rPr>
                <w:sz w:val="1"/>
                <w:szCs w:val="1"/>
                <w:color w:val="auto"/>
              </w:rPr>
            </w:pPr>
          </w:p>
        </w:tc>
      </w:tr>
      <w:tr>
        <w:trPr>
          <w:trHeight w:val="175"/>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NEO</w:t>
            </w:r>
          </w:p>
        </w:tc>
        <w:tc>
          <w:tcPr>
            <w:tcW w:w="208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Date Shares Awarded</w:t>
            </w:r>
          </w:p>
        </w:tc>
        <w:tc>
          <w:tcPr>
            <w:tcW w:w="2320" w:type="dxa"/>
            <w:vAlign w:val="bottom"/>
            <w:vMerge w:val="continue"/>
          </w:tcPr>
          <w:p>
            <w:pPr>
              <w:spacing w:after="0"/>
              <w:rPr>
                <w:sz w:val="15"/>
                <w:szCs w:val="15"/>
                <w:color w:val="auto"/>
              </w:rPr>
            </w:pPr>
          </w:p>
        </w:tc>
        <w:tc>
          <w:tcPr>
            <w:tcW w:w="2020" w:type="dxa"/>
            <w:vAlign w:val="bottom"/>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929292"/>
            </w:tcBorders>
            <w:vMerge w:val="continue"/>
          </w:tcPr>
          <w:p>
            <w:pPr>
              <w:spacing w:after="0"/>
              <w:rPr>
                <w:sz w:val="21"/>
                <w:szCs w:val="21"/>
                <w:color w:val="auto"/>
              </w:rPr>
            </w:pPr>
          </w:p>
        </w:tc>
        <w:tc>
          <w:tcPr>
            <w:tcW w:w="2080" w:type="dxa"/>
            <w:vAlign w:val="bottom"/>
            <w:tcBorders>
              <w:bottom w:val="single" w:sz="8" w:color="929292"/>
            </w:tcBorders>
            <w:vMerge w:val="continue"/>
          </w:tcPr>
          <w:p>
            <w:pPr>
              <w:spacing w:after="0"/>
              <w:rPr>
                <w:sz w:val="21"/>
                <w:szCs w:val="21"/>
                <w:color w:val="auto"/>
              </w:rPr>
            </w:pPr>
          </w:p>
        </w:tc>
        <w:tc>
          <w:tcPr>
            <w:tcW w:w="2320" w:type="dxa"/>
            <w:vAlign w:val="bottom"/>
            <w:tcBorders>
              <w:bottom w:val="single" w:sz="8" w:color="929292"/>
            </w:tcBorders>
          </w:tcPr>
          <w:p>
            <w:pPr>
              <w:jc w:val="center"/>
              <w:ind w:left="50"/>
              <w:spacing w:after="0" w:line="243" w:lineRule="exact"/>
              <w:rPr>
                <w:sz w:val="20"/>
                <w:szCs w:val="20"/>
                <w:color w:val="auto"/>
              </w:rPr>
            </w:pPr>
            <w:r>
              <w:rPr>
                <w:rFonts w:ascii="Times New Roman" w:cs="Times New Roman" w:eastAsia="Times New Roman" w:hAnsi="Times New Roman"/>
                <w:sz w:val="18"/>
                <w:szCs w:val="18"/>
                <w:b w:val="1"/>
                <w:bCs w:val="1"/>
                <w:color w:val="auto"/>
                <w:w w:val="96"/>
              </w:rPr>
              <w:t>Acquired on Vesting</w:t>
            </w:r>
            <w:r>
              <w:rPr>
                <w:rFonts w:ascii="Times New Roman" w:cs="Times New Roman" w:eastAsia="Times New Roman" w:hAnsi="Times New Roman"/>
                <w:sz w:val="23"/>
                <w:szCs w:val="23"/>
                <w:color w:val="auto"/>
                <w:w w:val="96"/>
                <w:vertAlign w:val="superscript"/>
              </w:rPr>
              <w:t>(1)</w:t>
            </w:r>
          </w:p>
        </w:tc>
        <w:tc>
          <w:tcPr>
            <w:tcW w:w="2020" w:type="dxa"/>
            <w:vAlign w:val="bottom"/>
            <w:tcBorders>
              <w:bottom w:val="single" w:sz="8" w:color="929292"/>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Price on 2/24/2026</w:t>
            </w:r>
          </w:p>
        </w:tc>
        <w:tc>
          <w:tcPr>
            <w:tcW w:w="540" w:type="dxa"/>
            <w:vAlign w:val="bottom"/>
            <w:tcBorders>
              <w:bottom w:val="single" w:sz="8" w:color="929292"/>
            </w:tcBorders>
          </w:tcPr>
          <w:p>
            <w:pPr>
              <w:spacing w:after="0"/>
              <w:rPr>
                <w:sz w:val="21"/>
                <w:szCs w:val="21"/>
                <w:color w:val="auto"/>
              </w:rPr>
            </w:pPr>
          </w:p>
        </w:tc>
        <w:tc>
          <w:tcPr>
            <w:tcW w:w="1580" w:type="dxa"/>
            <w:vAlign w:val="bottom"/>
            <w:tcBorders>
              <w:bottom w:val="single" w:sz="8" w:color="929292"/>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2/24/2026</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21,123</w:t>
            </w: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$135.05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2,852,661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DBDBDB"/>
            </w:tcBorders>
          </w:tcPr>
          <w:p>
            <w:pPr>
              <w:spacing w:after="0"/>
              <w:rPr>
                <w:sz w:val="2"/>
                <w:szCs w:val="2"/>
                <w:color w:val="auto"/>
              </w:rPr>
            </w:pPr>
          </w:p>
        </w:tc>
        <w:tc>
          <w:tcPr>
            <w:tcW w:w="208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202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5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2/24/2026</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7,557</w:t>
            </w: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$135.05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1,020,573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DBDBDB"/>
            </w:tcBorders>
          </w:tcPr>
          <w:p>
            <w:pPr>
              <w:spacing w:after="0"/>
              <w:rPr>
                <w:sz w:val="2"/>
                <w:szCs w:val="2"/>
                <w:color w:val="auto"/>
              </w:rPr>
            </w:pPr>
          </w:p>
        </w:tc>
        <w:tc>
          <w:tcPr>
            <w:tcW w:w="208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202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5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2/24/2026</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7,557</w:t>
            </w: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$135.05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1,020,573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DBDBDB"/>
            </w:tcBorders>
          </w:tcPr>
          <w:p>
            <w:pPr>
              <w:spacing w:after="0"/>
              <w:rPr>
                <w:sz w:val="2"/>
                <w:szCs w:val="2"/>
                <w:color w:val="auto"/>
              </w:rPr>
            </w:pPr>
          </w:p>
        </w:tc>
        <w:tc>
          <w:tcPr>
            <w:tcW w:w="208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202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5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2/24/2026</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3,899</w:t>
            </w: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$135.05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526,560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DBDBDB"/>
            </w:tcBorders>
          </w:tcPr>
          <w:p>
            <w:pPr>
              <w:spacing w:after="0"/>
              <w:rPr>
                <w:sz w:val="2"/>
                <w:szCs w:val="2"/>
                <w:color w:val="auto"/>
              </w:rPr>
            </w:pPr>
          </w:p>
        </w:tc>
        <w:tc>
          <w:tcPr>
            <w:tcW w:w="208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202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5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2/24/2026</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3,336</w:t>
            </w:r>
          </w:p>
        </w:tc>
        <w:tc>
          <w:tcPr>
            <w:tcW w:w="2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$135.05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450,527</w:t>
            </w:r>
          </w:p>
        </w:tc>
        <w:tc>
          <w:tcPr>
            <w:tcW w:w="0" w:type="dxa"/>
            <w:vAlign w:val="bottom"/>
          </w:tcPr>
          <w:p>
            <w:pPr>
              <w:spacing w:after="0"/>
              <w:rPr>
                <w:sz w:val="1"/>
                <w:szCs w:val="1"/>
                <w:color w:val="auto"/>
              </w:rPr>
            </w:pPr>
          </w:p>
        </w:tc>
      </w:tr>
      <w:tr>
        <w:trPr>
          <w:trHeight w:val="27"/>
        </w:trPr>
        <w:tc>
          <w:tcPr>
            <w:tcW w:w="2640" w:type="dxa"/>
            <w:vAlign w:val="bottom"/>
            <w:tcBorders>
              <w:bottom w:val="single" w:sz="8" w:color="DBDBDB"/>
            </w:tcBorders>
          </w:tcPr>
          <w:p>
            <w:pPr>
              <w:spacing w:after="0"/>
              <w:rPr>
                <w:sz w:val="2"/>
                <w:szCs w:val="2"/>
                <w:color w:val="auto"/>
              </w:rPr>
            </w:pPr>
          </w:p>
        </w:tc>
        <w:tc>
          <w:tcPr>
            <w:tcW w:w="208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2020" w:type="dxa"/>
            <w:vAlign w:val="bottom"/>
            <w:tcBorders>
              <w:bottom w:val="single" w:sz="8" w:color="DBDBDB"/>
            </w:tcBorders>
          </w:tcPr>
          <w:p>
            <w:pPr>
              <w:spacing w:after="0"/>
              <w:rPr>
                <w:sz w:val="2"/>
                <w:szCs w:val="2"/>
                <w:color w:val="auto"/>
              </w:rPr>
            </w:pPr>
          </w:p>
        </w:tc>
        <w:tc>
          <w:tcPr>
            <w:tcW w:w="540" w:type="dxa"/>
            <w:vAlign w:val="bottom"/>
            <w:tcBorders>
              <w:bottom w:val="single" w:sz="8" w:color="DBDBDB"/>
            </w:tcBorders>
          </w:tcPr>
          <w:p>
            <w:pPr>
              <w:spacing w:after="0"/>
              <w:rPr>
                <w:sz w:val="2"/>
                <w:szCs w:val="2"/>
                <w:color w:val="auto"/>
              </w:rPr>
            </w:pPr>
          </w:p>
        </w:tc>
        <w:tc>
          <w:tcPr>
            <w:tcW w:w="15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00" w:hanging="92"/>
        <w:spacing w:after="0"/>
        <w:tabs>
          <w:tab w:leader="none" w:pos="100" w:val="left"/>
        </w:tabs>
        <w:numPr>
          <w:ilvl w:val="0"/>
          <w:numId w:val="4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shares awarded and corresponding value realized reflect shares awarded in February 2026 to each NEO for the three-year performance period ended December 31,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Executive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on compensation earned by the NEOs for the years ended December 31, 2025, 2024 and 2023. In determining the individuals to be included in this table, we considered the roles and responsibilities of individuals serving at the Company and its subsidiaries during 2025, as well as total compensation (reduced by the change in pension value and non-qualified deferred compensation earnings), for the year ended December 31, 2025.</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NEO and</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vMerge w:val="restart"/>
          </w:tcPr>
          <w:p>
            <w:pPr>
              <w:jc w:val="center"/>
              <w:ind w:left="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6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rPr>
              <w:t>Non-Equity</w:t>
            </w:r>
          </w:p>
        </w:tc>
        <w:tc>
          <w:tcPr>
            <w:tcW w:w="1580" w:type="dxa"/>
            <w:vAlign w:val="bottom"/>
            <w:vMerge w:val="restart"/>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1340" w:type="dxa"/>
            <w:vAlign w:val="bottom"/>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0"/>
                <w:szCs w:val="10"/>
                <w:color w:val="auto"/>
              </w:rPr>
              <w:t>(1)</w:t>
            </w:r>
          </w:p>
        </w:tc>
        <w:tc>
          <w:tcPr>
            <w:tcW w:w="1240" w:type="dxa"/>
            <w:vAlign w:val="bottom"/>
            <w:vMerge w:val="continue"/>
          </w:tcPr>
          <w:p>
            <w:pPr>
              <w:spacing w:after="0"/>
              <w:rPr>
                <w:sz w:val="10"/>
                <w:szCs w:val="10"/>
                <w:color w:val="auto"/>
              </w:rPr>
            </w:pPr>
          </w:p>
        </w:tc>
        <w:tc>
          <w:tcPr>
            <w:tcW w:w="1660" w:type="dxa"/>
            <w:vAlign w:val="bottom"/>
          </w:tcPr>
          <w:p>
            <w:pPr>
              <w:jc w:val="center"/>
              <w:ind w:left="45"/>
              <w:spacing w:after="0" w:line="122"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80" w:type="dxa"/>
            <w:vAlign w:val="bottom"/>
            <w:vMerge w:val="continue"/>
          </w:tcPr>
          <w:p>
            <w:pPr>
              <w:spacing w:after="0"/>
              <w:rPr>
                <w:sz w:val="10"/>
                <w:szCs w:val="10"/>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B6B6B6"/>
            </w:tcBorders>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Principal Position</w:t>
            </w:r>
          </w:p>
        </w:tc>
        <w:tc>
          <w:tcPr>
            <w:tcW w:w="1340" w:type="dxa"/>
            <w:vAlign w:val="bottom"/>
            <w:tcBorders>
              <w:bottom w:val="single" w:sz="8" w:color="B6B6B6"/>
            </w:tcBorders>
            <w:vMerge w:val="continue"/>
          </w:tcPr>
          <w:p>
            <w:pPr>
              <w:spacing w:after="0"/>
              <w:rPr>
                <w:sz w:val="14"/>
                <w:szCs w:val="14"/>
                <w:color w:val="auto"/>
              </w:rPr>
            </w:pPr>
          </w:p>
        </w:tc>
        <w:tc>
          <w:tcPr>
            <w:tcW w:w="1140" w:type="dxa"/>
            <w:vAlign w:val="bottom"/>
            <w:tcBorders>
              <w:bottom w:val="single" w:sz="8" w:color="B6B6B6"/>
            </w:tcBorders>
            <w:vMerge w:val="continue"/>
          </w:tcPr>
          <w:p>
            <w:pPr>
              <w:spacing w:after="0"/>
              <w:rPr>
                <w:sz w:val="14"/>
                <w:szCs w:val="14"/>
                <w:color w:val="auto"/>
              </w:rPr>
            </w:pPr>
          </w:p>
        </w:tc>
        <w:tc>
          <w:tcPr>
            <w:tcW w:w="1200" w:type="dxa"/>
            <w:vAlign w:val="bottom"/>
            <w:tcBorders>
              <w:bottom w:val="single" w:sz="8" w:color="B6B6B6"/>
            </w:tcBorders>
          </w:tcPr>
          <w:p>
            <w:pPr>
              <w:jc w:val="right"/>
              <w:ind w:right="397"/>
              <w:spacing w:after="0" w:line="162" w:lineRule="exact"/>
              <w:rPr>
                <w:sz w:val="20"/>
                <w:szCs w:val="20"/>
                <w:color w:val="auto"/>
              </w:rPr>
            </w:pPr>
            <w:r>
              <w:rPr>
                <w:rFonts w:ascii="Times New Roman" w:cs="Times New Roman" w:eastAsia="Times New Roman" w:hAnsi="Times New Roman"/>
                <w:sz w:val="15"/>
                <w:szCs w:val="15"/>
                <w:b w:val="1"/>
                <w:bCs w:val="1"/>
                <w:color w:val="auto"/>
              </w:rPr>
              <w:t>Bonus</w:t>
            </w:r>
          </w:p>
        </w:tc>
        <w:tc>
          <w:tcPr>
            <w:tcW w:w="1240" w:type="dxa"/>
            <w:vAlign w:val="bottom"/>
            <w:tcBorders>
              <w:bottom w:val="single" w:sz="8" w:color="B6B6B6"/>
            </w:tcBorders>
          </w:tcPr>
          <w:p>
            <w:pPr>
              <w:jc w:val="center"/>
              <w:ind w:left="5"/>
              <w:spacing w:after="0" w:line="162" w:lineRule="exact"/>
              <w:rPr>
                <w:sz w:val="20"/>
                <w:szCs w:val="20"/>
                <w:color w:val="auto"/>
              </w:rPr>
            </w:pPr>
            <w:r>
              <w:rPr>
                <w:rFonts w:ascii="Times New Roman" w:cs="Times New Roman" w:eastAsia="Times New Roman" w:hAnsi="Times New Roman"/>
                <w:sz w:val="15"/>
                <w:szCs w:val="15"/>
                <w:b w:val="1"/>
                <w:bCs w:val="1"/>
                <w:color w:val="auto"/>
                <w:w w:val="93"/>
              </w:rPr>
              <w:t>Awards</w:t>
            </w:r>
            <w:r>
              <w:rPr>
                <w:rFonts w:ascii="Times New Roman" w:cs="Times New Roman" w:eastAsia="Times New Roman" w:hAnsi="Times New Roman"/>
                <w:sz w:val="18"/>
                <w:szCs w:val="18"/>
                <w:color w:val="auto"/>
                <w:w w:val="93"/>
                <w:vertAlign w:val="superscript"/>
              </w:rPr>
              <w:t>(2)</w:t>
            </w:r>
          </w:p>
        </w:tc>
        <w:tc>
          <w:tcPr>
            <w:tcW w:w="1660" w:type="dxa"/>
            <w:vAlign w:val="bottom"/>
            <w:tcBorders>
              <w:bottom w:val="single" w:sz="8" w:color="B6B6B6"/>
            </w:tcBorders>
          </w:tcPr>
          <w:p>
            <w:pPr>
              <w:jc w:val="center"/>
              <w:ind w:left="25"/>
              <w:spacing w:after="0" w:line="162" w:lineRule="exact"/>
              <w:rPr>
                <w:sz w:val="20"/>
                <w:szCs w:val="20"/>
                <w:color w:val="auto"/>
              </w:rPr>
            </w:pP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9"/>
                <w:szCs w:val="9"/>
                <w:color w:val="auto"/>
              </w:rPr>
              <w:t>(3)(4)</w:t>
            </w:r>
          </w:p>
        </w:tc>
        <w:tc>
          <w:tcPr>
            <w:tcW w:w="1580" w:type="dxa"/>
            <w:vAlign w:val="bottom"/>
            <w:tcBorders>
              <w:bottom w:val="single" w:sz="8" w:color="B6B6B6"/>
            </w:tcBorders>
          </w:tcPr>
          <w:p>
            <w:pPr>
              <w:jc w:val="center"/>
              <w:ind w:right="45"/>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Compensation</w:t>
            </w:r>
            <w:r>
              <w:rPr>
                <w:rFonts w:ascii="Times New Roman" w:cs="Times New Roman" w:eastAsia="Times New Roman" w:hAnsi="Times New Roman"/>
                <w:sz w:val="18"/>
                <w:szCs w:val="18"/>
                <w:color w:val="auto"/>
                <w:w w:val="99"/>
                <w:vertAlign w:val="superscript"/>
              </w:rPr>
              <w:t>(5)</w:t>
            </w:r>
          </w:p>
        </w:tc>
        <w:tc>
          <w:tcPr>
            <w:tcW w:w="1220" w:type="dxa"/>
            <w:vAlign w:val="bottom"/>
            <w:tcBorders>
              <w:bottom w:val="single" w:sz="8" w:color="B6B6B6"/>
            </w:tcBorders>
          </w:tcPr>
          <w:p>
            <w:pPr>
              <w:jc w:val="right"/>
              <w:ind w:right="497"/>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Jeffry M. Householder</w:t>
            </w:r>
          </w:p>
        </w:tc>
        <w:tc>
          <w:tcPr>
            <w:tcW w:w="8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872,385</w:t>
            </w:r>
          </w:p>
        </w:tc>
        <w:tc>
          <w:tcPr>
            <w:tcW w:w="3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2,420,566</w:t>
            </w:r>
          </w:p>
        </w:tc>
        <w:tc>
          <w:tcPr>
            <w:tcW w:w="3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1,097,863</w:t>
            </w:r>
          </w:p>
        </w:tc>
        <w:tc>
          <w:tcPr>
            <w:tcW w:w="4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140,508</w:t>
            </w:r>
          </w:p>
        </w:tc>
        <w:tc>
          <w:tcPr>
            <w:tcW w:w="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4,531,322</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828282"/>
              </w:rPr>
              <w:t>President and Chief Executive</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834,060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2,026,148</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1,179,120</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114,687</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4,154,015</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828282"/>
              </w:rPr>
              <w:t>Officer</w:t>
            </w:r>
          </w:p>
        </w:tc>
        <w:tc>
          <w:tcPr>
            <w:tcW w:w="8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778,680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1,664,792</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639,914</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194,753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3,428,139</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DDDDD"/>
            </w:tcBorders>
          </w:tcPr>
          <w:p>
            <w:pPr>
              <w:spacing w:after="0"/>
              <w:rPr>
                <w:sz w:val="2"/>
                <w:szCs w:val="2"/>
                <w:color w:val="auto"/>
              </w:rPr>
            </w:pPr>
          </w:p>
        </w:tc>
        <w:tc>
          <w:tcPr>
            <w:tcW w:w="8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60" w:type="dxa"/>
            <w:vAlign w:val="bottom"/>
            <w:tcBorders>
              <w:bottom w:val="single" w:sz="8" w:color="DDDDDD"/>
            </w:tcBorders>
          </w:tcPr>
          <w:p>
            <w:pPr>
              <w:spacing w:after="0"/>
              <w:rPr>
                <w:sz w:val="2"/>
                <w:szCs w:val="2"/>
                <w:color w:val="auto"/>
              </w:rPr>
            </w:pPr>
          </w:p>
        </w:tc>
        <w:tc>
          <w:tcPr>
            <w:tcW w:w="94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Beth W. Cooper</w:t>
            </w:r>
          </w:p>
        </w:tc>
        <w:tc>
          <w:tcPr>
            <w:tcW w:w="8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509,923</w:t>
            </w:r>
          </w:p>
        </w:tc>
        <w:tc>
          <w:tcPr>
            <w:tcW w:w="3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708,202</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353,375</w:t>
            </w:r>
          </w:p>
        </w:tc>
        <w:tc>
          <w:tcPr>
            <w:tcW w:w="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29,961</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1,601,461</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828282"/>
              </w:rPr>
              <w:t>Executive Vice President,</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483,180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707,849</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372,285</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60,358</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1,623,672</w:t>
            </w: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828282"/>
              </w:rPr>
              <w:t>Chief Financial Officer, Treasurer</w:t>
            </w:r>
          </w:p>
        </w:tc>
        <w:tc>
          <w:tcPr>
            <w:tcW w:w="8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828282"/>
              </w:rPr>
              <w:t>and Assistant Secretary</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443,415</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595,640</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211,816</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111,740</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1,462,611</w:t>
            </w: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DDDDDD"/>
            </w:tcBorders>
          </w:tcPr>
          <w:p>
            <w:pPr>
              <w:spacing w:after="0"/>
              <w:rPr>
                <w:sz w:val="2"/>
                <w:szCs w:val="2"/>
                <w:color w:val="auto"/>
              </w:rPr>
            </w:pPr>
          </w:p>
        </w:tc>
        <w:tc>
          <w:tcPr>
            <w:tcW w:w="8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60" w:type="dxa"/>
            <w:vAlign w:val="bottom"/>
            <w:tcBorders>
              <w:bottom w:val="single" w:sz="8" w:color="DDDDDD"/>
            </w:tcBorders>
          </w:tcPr>
          <w:p>
            <w:pPr>
              <w:spacing w:after="0"/>
              <w:rPr>
                <w:sz w:val="2"/>
                <w:szCs w:val="2"/>
                <w:color w:val="auto"/>
              </w:rPr>
            </w:pPr>
          </w:p>
        </w:tc>
        <w:tc>
          <w:tcPr>
            <w:tcW w:w="94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James F. Moriarty</w:t>
            </w:r>
          </w:p>
        </w:tc>
        <w:tc>
          <w:tcPr>
            <w:tcW w:w="8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480,176</w:t>
            </w:r>
          </w:p>
        </w:tc>
        <w:tc>
          <w:tcPr>
            <w:tcW w:w="3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667,047</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332,790</w:t>
            </w:r>
          </w:p>
        </w:tc>
        <w:tc>
          <w:tcPr>
            <w:tcW w:w="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24,415</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1,504,427</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828282"/>
              </w:rPr>
              <w:t>Executive Vice President, General</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461,430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666,388</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348,023</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27,403</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1,503,244</w:t>
            </w:r>
          </w:p>
        </w:tc>
        <w:tc>
          <w:tcPr>
            <w:tcW w:w="0" w:type="dxa"/>
            <w:vAlign w:val="bottom"/>
          </w:tcPr>
          <w:p>
            <w:pPr>
              <w:spacing w:after="0"/>
              <w:rPr>
                <w:sz w:val="1"/>
                <w:szCs w:val="1"/>
                <w:color w:val="auto"/>
              </w:rPr>
            </w:pPr>
          </w:p>
        </w:tc>
      </w:tr>
      <w:tr>
        <w:trPr>
          <w:trHeight w:val="139"/>
        </w:trPr>
        <w:tc>
          <w:tcPr>
            <w:tcW w:w="2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828282"/>
              </w:rPr>
              <w:t>Counsel, Corporate Secretary and</w:t>
            </w:r>
          </w:p>
        </w:tc>
        <w:tc>
          <w:tcPr>
            <w:tcW w:w="8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828282"/>
              </w:rPr>
              <w:t>Chief Policy and Risk Officer</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443,415</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85,000</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595,640</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212,667</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84,723</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1,421,445</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DDDDDD"/>
            </w:tcBorders>
          </w:tcPr>
          <w:p>
            <w:pPr>
              <w:spacing w:after="0"/>
              <w:rPr>
                <w:sz w:val="2"/>
                <w:szCs w:val="2"/>
                <w:color w:val="auto"/>
              </w:rPr>
            </w:pPr>
          </w:p>
        </w:tc>
        <w:tc>
          <w:tcPr>
            <w:tcW w:w="8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60" w:type="dxa"/>
            <w:vAlign w:val="bottom"/>
            <w:tcBorders>
              <w:bottom w:val="single" w:sz="8" w:color="DDDDDD"/>
            </w:tcBorders>
          </w:tcPr>
          <w:p>
            <w:pPr>
              <w:spacing w:after="0"/>
              <w:rPr>
                <w:sz w:val="2"/>
                <w:szCs w:val="2"/>
                <w:color w:val="auto"/>
              </w:rPr>
            </w:pPr>
          </w:p>
        </w:tc>
        <w:tc>
          <w:tcPr>
            <w:tcW w:w="94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Jeffrey S. Sylvester</w:t>
            </w:r>
          </w:p>
        </w:tc>
        <w:tc>
          <w:tcPr>
            <w:tcW w:w="8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463,070</w:t>
            </w:r>
          </w:p>
        </w:tc>
        <w:tc>
          <w:tcPr>
            <w:tcW w:w="3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470,248</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302,789</w:t>
            </w:r>
          </w:p>
        </w:tc>
        <w:tc>
          <w:tcPr>
            <w:tcW w:w="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41,819</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1,277,926</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828282"/>
              </w:rPr>
              <w:t>Senior Vice President and</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420,000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382,530</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296,861</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44,787</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1,144,178</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828282"/>
              </w:rPr>
              <w:t>Chief Operating Officer</w:t>
            </w:r>
          </w:p>
        </w:tc>
        <w:tc>
          <w:tcPr>
            <w:tcW w:w="8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386,999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307,318</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153,284</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68,951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1,016,552</w:t>
            </w:r>
          </w:p>
        </w:tc>
        <w:tc>
          <w:tcPr>
            <w:tcW w:w="0" w:type="dxa"/>
            <w:vAlign w:val="bottom"/>
          </w:tcPr>
          <w:p>
            <w:pPr>
              <w:spacing w:after="0"/>
              <w:rPr>
                <w:sz w:val="1"/>
                <w:szCs w:val="1"/>
                <w:color w:val="auto"/>
              </w:rPr>
            </w:pPr>
          </w:p>
        </w:tc>
      </w:tr>
      <w:tr>
        <w:trPr>
          <w:trHeight w:val="27"/>
        </w:trPr>
        <w:tc>
          <w:tcPr>
            <w:tcW w:w="2240" w:type="dxa"/>
            <w:vAlign w:val="bottom"/>
            <w:tcBorders>
              <w:bottom w:val="single" w:sz="8" w:color="DDDDDD"/>
            </w:tcBorders>
          </w:tcPr>
          <w:p>
            <w:pPr>
              <w:spacing w:after="0"/>
              <w:rPr>
                <w:sz w:val="2"/>
                <w:szCs w:val="2"/>
                <w:color w:val="auto"/>
              </w:rPr>
            </w:pPr>
          </w:p>
        </w:tc>
        <w:tc>
          <w:tcPr>
            <w:tcW w:w="8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840" w:type="dxa"/>
            <w:vAlign w:val="bottom"/>
            <w:tcBorders>
              <w:bottom w:val="single" w:sz="8" w:color="DDDDDD"/>
            </w:tcBorders>
          </w:tcPr>
          <w:p>
            <w:pPr>
              <w:spacing w:after="0"/>
              <w:rPr>
                <w:sz w:val="2"/>
                <w:szCs w:val="2"/>
                <w:color w:val="auto"/>
              </w:rPr>
            </w:pPr>
          </w:p>
        </w:tc>
        <w:tc>
          <w:tcPr>
            <w:tcW w:w="320" w:type="dxa"/>
            <w:vAlign w:val="bottom"/>
            <w:tcBorders>
              <w:bottom w:val="single" w:sz="8" w:color="DDDDDD"/>
            </w:tcBorders>
          </w:tcPr>
          <w:p>
            <w:pPr>
              <w:spacing w:after="0"/>
              <w:rPr>
                <w:sz w:val="2"/>
                <w:szCs w:val="2"/>
                <w:color w:val="auto"/>
              </w:rPr>
            </w:pPr>
          </w:p>
        </w:tc>
        <w:tc>
          <w:tcPr>
            <w:tcW w:w="8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02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60" w:type="dxa"/>
            <w:vAlign w:val="bottom"/>
            <w:tcBorders>
              <w:bottom w:val="single" w:sz="8" w:color="DDDDDD"/>
            </w:tcBorders>
          </w:tcPr>
          <w:p>
            <w:pPr>
              <w:spacing w:after="0"/>
              <w:rPr>
                <w:sz w:val="2"/>
                <w:szCs w:val="2"/>
                <w:color w:val="auto"/>
              </w:rPr>
            </w:pPr>
          </w:p>
        </w:tc>
        <w:tc>
          <w:tcPr>
            <w:tcW w:w="94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Kevin J. Webber</w:t>
            </w:r>
          </w:p>
        </w:tc>
        <w:tc>
          <w:tcPr>
            <w:tcW w:w="8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364,191</w:t>
            </w:r>
          </w:p>
        </w:tc>
        <w:tc>
          <w:tcPr>
            <w:tcW w:w="3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323,856</w:t>
            </w:r>
          </w:p>
        </w:tc>
        <w:tc>
          <w:tcPr>
            <w:tcW w:w="3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227,308</w:t>
            </w:r>
          </w:p>
        </w:tc>
        <w:tc>
          <w:tcPr>
            <w:tcW w:w="4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38,937</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954,294</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828282"/>
              </w:rPr>
              <w:t>Senior Vice President and</w:t>
            </w:r>
          </w:p>
        </w:tc>
        <w:tc>
          <w:tcPr>
            <w:tcW w:w="8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349,510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315,475</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240,228</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41,012</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946,225</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828282"/>
              </w:rPr>
              <w:t>Chief Development Officer</w:t>
            </w:r>
          </w:p>
        </w:tc>
        <w:tc>
          <w:tcPr>
            <w:tcW w:w="8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335,780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262,991</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130,709</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60,346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889,826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jc w:val="both"/>
        <w:ind w:left="80" w:hanging="72"/>
        <w:spacing w:after="0" w:line="210" w:lineRule="auto"/>
        <w:tabs>
          <w:tab w:leader="none" w:pos="73" w:val="left"/>
        </w:tabs>
        <w:numPr>
          <w:ilvl w:val="0"/>
          <w:numId w:val="4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On February 20, 2024, the Compensation Committee approved discretionary cash bonuses for Messrs. Householder, Moriarty, Sylvester and Webber and Ms. Cooper in connection with each NEO's efforts related to the Company's acquisition of Florida City Gas in 2023. The cash bonus awards were paid in the amounts reflected in the applicable rows of the Summary Compensation Table and were issued to the NEOs under the Company's 2015 Cash Plan, which authorized the Compensation Committee to grant discretionary bonuses.</w:t>
      </w:r>
    </w:p>
    <w:p>
      <w:pPr>
        <w:spacing w:after="0" w:line="67" w:lineRule="exact"/>
        <w:rPr>
          <w:sz w:val="20"/>
          <w:szCs w:val="20"/>
          <w:color w:val="auto"/>
        </w:rPr>
      </w:pPr>
    </w:p>
    <w:p>
      <w:pPr>
        <w:jc w:val="both"/>
        <w:ind w:left="80" w:hanging="72"/>
        <w:spacing w:after="0" w:line="238" w:lineRule="auto"/>
        <w:tabs>
          <w:tab w:leader="none" w:pos="73" w:val="left"/>
        </w:tabs>
        <w:numPr>
          <w:ilvl w:val="0"/>
          <w:numId w:val="4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For the NEOs we calculated the aggregate grant date fair value of the performance-based equity incentive awards for each performance period based on the estimated compensation costs on the grant date in accordance with Financial Accounting Standards Board ASC Topic 718. We estimate the percent of which the Growth in Long-Term Earnings component and the Earnings Performance component are likely to be earned. The equity incentive awards have been recorded at the grant date fair value, which is based on the closing price on the grant date. We also evaluated the likelihood of earning the TSR component for the respective performance periods. We first determined the aggregate fair value of the award using a third-party model. The Company's TSR was then compared to the companies in our performance peer group using a Monte Carlo stock simulation. The Monte Carlo stock simulation estimated a percentile ranking for the TSR component, which is used to determine the payout percentage. The performance share fair value for the TSR component was generated from the third-party model and used to calculate the aggregate grant date fair value of this component of the award. The number of actual performance shares earned will range from 0% to 200% of the target performance shares depending on the applicable performance period and actual performance as compared to the performance goals. The following table sets forth the factors associated with the estimated compensation costs for each performance period.</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PAYOUT FOR EQUITY INCENTIVE AWARDS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Performance-Based Equity Awards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2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Market-Based Equity Awards</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20" w:type="dxa"/>
            <w:vAlign w:val="bottom"/>
            <w:tcBorders>
              <w:bottom w:val="single" w:sz="8" w:color="CBCBCB"/>
            </w:tcBorders>
          </w:tcPr>
          <w:p>
            <w:pPr>
              <w:spacing w:after="0"/>
              <w:rPr>
                <w:sz w:val="3"/>
                <w:szCs w:val="3"/>
                <w:color w:val="auto"/>
              </w:rPr>
            </w:pPr>
          </w:p>
        </w:tc>
        <w:tc>
          <w:tcPr>
            <w:tcW w:w="760" w:type="dxa"/>
            <w:vAlign w:val="bottom"/>
            <w:tcBorders>
              <w:bottom w:val="single" w:sz="8" w:color="CBCBCB"/>
            </w:tcBorders>
          </w:tcPr>
          <w:p>
            <w:pPr>
              <w:spacing w:after="0"/>
              <w:rPr>
                <w:sz w:val="3"/>
                <w:szCs w:val="3"/>
                <w:color w:val="auto"/>
              </w:rPr>
            </w:pPr>
          </w:p>
        </w:tc>
        <w:tc>
          <w:tcPr>
            <w:tcW w:w="1160" w:type="dxa"/>
            <w:vAlign w:val="bottom"/>
            <w:tcBorders>
              <w:bottom w:val="single" w:sz="8" w:color="CBCBCB"/>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CBCBCB"/>
            </w:tcBorders>
          </w:tcPr>
          <w:p>
            <w:pPr>
              <w:spacing w:after="0"/>
              <w:rPr>
                <w:sz w:val="3"/>
                <w:szCs w:val="3"/>
                <w:color w:val="auto"/>
              </w:rPr>
            </w:pPr>
          </w:p>
        </w:tc>
        <w:tc>
          <w:tcPr>
            <w:tcW w:w="2120" w:type="dxa"/>
            <w:vAlign w:val="bottom"/>
            <w:tcBorders>
              <w:bottom w:val="single" w:sz="8" w:color="CBCBCB"/>
            </w:tcBorders>
          </w:tcPr>
          <w:p>
            <w:pPr>
              <w:spacing w:after="0"/>
              <w:rPr>
                <w:sz w:val="3"/>
                <w:szCs w:val="3"/>
                <w:color w:val="auto"/>
              </w:rPr>
            </w:pPr>
          </w:p>
        </w:tc>
        <w:tc>
          <w:tcPr>
            <w:tcW w:w="1060" w:type="dxa"/>
            <w:vAlign w:val="bottom"/>
            <w:tcBorders>
              <w:bottom w:val="single" w:sz="8" w:color="CBCBC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1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00" w:type="dxa"/>
            <w:vAlign w:val="bottom"/>
          </w:tcPr>
          <w:p>
            <w:pPr>
              <w:spacing w:after="0"/>
              <w:rPr>
                <w:sz w:val="14"/>
                <w:szCs w:val="14"/>
                <w:color w:val="auto"/>
              </w:rPr>
            </w:pPr>
          </w:p>
        </w:tc>
        <w:tc>
          <w:tcPr>
            <w:tcW w:w="16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Growth in Long-Term</w:t>
            </w:r>
          </w:p>
        </w:tc>
        <w:tc>
          <w:tcPr>
            <w:tcW w:w="760" w:type="dxa"/>
            <w:vAlign w:val="bottom"/>
          </w:tcPr>
          <w:p>
            <w:pPr>
              <w:spacing w:after="0"/>
              <w:rPr>
                <w:sz w:val="14"/>
                <w:szCs w:val="14"/>
                <w:color w:val="auto"/>
              </w:rPr>
            </w:pPr>
          </w:p>
        </w:tc>
        <w:tc>
          <w:tcPr>
            <w:tcW w:w="11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Monte Carlo Estimated</w:t>
            </w: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27"/>
        </w:trPr>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80" w:type="dxa"/>
            <w:vAlign w:val="bottom"/>
            <w:vMerge w:val="continue"/>
          </w:tcPr>
          <w:p>
            <w:pPr>
              <w:spacing w:after="0"/>
              <w:rPr>
                <w:sz w:val="2"/>
                <w:szCs w:val="2"/>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20" w:type="dxa"/>
            <w:vAlign w:val="bottom"/>
            <w:vMerge w:val="continue"/>
          </w:tcPr>
          <w:p>
            <w:pPr>
              <w:spacing w:after="0"/>
              <w:rPr>
                <w:sz w:val="2"/>
                <w:szCs w:val="2"/>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ROE</w:t>
            </w:r>
          </w:p>
        </w:tc>
        <w:tc>
          <w:tcPr>
            <w:tcW w:w="11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2"/>
                <w:szCs w:val="2"/>
                <w:color w:val="auto"/>
              </w:rPr>
            </w:pP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TSR</w:t>
            </w:r>
          </w:p>
        </w:tc>
        <w:tc>
          <w:tcPr>
            <w:tcW w:w="21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60" w:type="dxa"/>
            <w:vAlign w:val="bottom"/>
            <w:tcBorders>
              <w:bottom w:val="single" w:sz="8" w:color="ADADAD"/>
            </w:tcBorders>
            <w:vMerge w:val="continue"/>
          </w:tcPr>
          <w:p>
            <w:pPr>
              <w:spacing w:after="0"/>
              <w:rPr>
                <w:sz w:val="16"/>
                <w:szCs w:val="16"/>
                <w:color w:val="auto"/>
              </w:rPr>
            </w:pPr>
          </w:p>
        </w:tc>
        <w:tc>
          <w:tcPr>
            <w:tcW w:w="1180" w:type="dxa"/>
            <w:vAlign w:val="bottom"/>
            <w:tcBorders>
              <w:bottom w:val="single" w:sz="8" w:color="ADADAD"/>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tcBorders>
              <w:bottom w:val="single" w:sz="8" w:color="ADADAD"/>
            </w:tcBorders>
            <w:vMerge w:val="continue"/>
          </w:tcPr>
          <w:p>
            <w:pPr>
              <w:spacing w:after="0"/>
              <w:rPr>
                <w:sz w:val="16"/>
                <w:szCs w:val="16"/>
                <w:color w:val="auto"/>
              </w:rPr>
            </w:pPr>
          </w:p>
        </w:tc>
        <w:tc>
          <w:tcPr>
            <w:tcW w:w="1620" w:type="dxa"/>
            <w:vAlign w:val="bottom"/>
            <w:tcBorders>
              <w:bottom w:val="single" w:sz="8" w:color="ADADAD"/>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60" w:type="dxa"/>
            <w:vAlign w:val="bottom"/>
            <w:tcBorders>
              <w:bottom w:val="single" w:sz="8" w:color="ADADAD"/>
            </w:tcBorders>
            <w:vMerge w:val="continue"/>
          </w:tcPr>
          <w:p>
            <w:pPr>
              <w:spacing w:after="0"/>
              <w:rPr>
                <w:sz w:val="16"/>
                <w:szCs w:val="16"/>
                <w:color w:val="auto"/>
              </w:rPr>
            </w:pPr>
          </w:p>
        </w:tc>
        <w:tc>
          <w:tcPr>
            <w:tcW w:w="1160" w:type="dxa"/>
            <w:vAlign w:val="bottom"/>
            <w:tcBorders>
              <w:bottom w:val="single" w:sz="8" w:color="ADADAD"/>
            </w:tcBorders>
            <w:vMerge w:val="continue"/>
          </w:tcPr>
          <w:p>
            <w:pPr>
              <w:spacing w:after="0"/>
              <w:rPr>
                <w:sz w:val="16"/>
                <w:szCs w:val="16"/>
                <w:color w:val="auto"/>
              </w:rPr>
            </w:pPr>
          </w:p>
        </w:tc>
        <w:tc>
          <w:tcPr>
            <w:tcW w:w="100" w:type="dxa"/>
            <w:vAlign w:val="bottom"/>
            <w:tcBorders>
              <w:bottom w:val="single" w:sz="8" w:color="ADADAD"/>
            </w:tcBorders>
          </w:tcPr>
          <w:p>
            <w:pPr>
              <w:spacing w:after="0"/>
              <w:rPr>
                <w:sz w:val="16"/>
                <w:szCs w:val="16"/>
                <w:color w:val="auto"/>
              </w:rPr>
            </w:pPr>
          </w:p>
        </w:tc>
        <w:tc>
          <w:tcPr>
            <w:tcW w:w="900" w:type="dxa"/>
            <w:vAlign w:val="bottom"/>
            <w:tcBorders>
              <w:bottom w:val="single" w:sz="8" w:color="ADADAD"/>
            </w:tcBorders>
            <w:vMerge w:val="continue"/>
          </w:tcPr>
          <w:p>
            <w:pPr>
              <w:spacing w:after="0"/>
              <w:rPr>
                <w:sz w:val="16"/>
                <w:szCs w:val="16"/>
                <w:color w:val="auto"/>
              </w:rPr>
            </w:pPr>
          </w:p>
        </w:tc>
        <w:tc>
          <w:tcPr>
            <w:tcW w:w="2120" w:type="dxa"/>
            <w:vAlign w:val="bottom"/>
            <w:tcBorders>
              <w:bottom w:val="single" w:sz="8" w:color="ADADAD"/>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Percentile Ranking</w:t>
            </w:r>
          </w:p>
        </w:tc>
        <w:tc>
          <w:tcPr>
            <w:tcW w:w="1080" w:type="dxa"/>
            <w:vAlign w:val="bottom"/>
            <w:tcBorders>
              <w:bottom w:val="single" w:sz="8" w:color="ADADAD"/>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91"/>
        </w:trPr>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2025-2027</w:t>
            </w:r>
          </w:p>
        </w:tc>
        <w:tc>
          <w:tcPr>
            <w:tcW w:w="1100" w:type="dxa"/>
            <w:vAlign w:val="bottom"/>
            <w:tcBorders>
              <w:right w:val="single" w:sz="8" w:color="DBDBDB"/>
            </w:tcBorders>
          </w:tcPr>
          <w:p>
            <w:pPr>
              <w:jc w:val="center"/>
              <w:ind w:right="48"/>
              <w:spacing w:after="0"/>
              <w:rPr>
                <w:sz w:val="20"/>
                <w:szCs w:val="20"/>
                <w:color w:val="auto"/>
              </w:rPr>
            </w:pPr>
            <w:r>
              <w:rPr>
                <w:rFonts w:ascii="Times New Roman" w:cs="Times New Roman" w:eastAsia="Times New Roman" w:hAnsi="Times New Roman"/>
                <w:sz w:val="14"/>
                <w:szCs w:val="14"/>
                <w:color w:val="auto"/>
              </w:rPr>
              <w:t>2/26/2025</w:t>
            </w: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w:t>
            </w: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100%</w:t>
            </w:r>
          </w:p>
        </w:tc>
        <w:tc>
          <w:tcPr>
            <w:tcW w:w="1160" w:type="dxa"/>
            <w:vAlign w:val="bottom"/>
            <w:tcBorders>
              <w:right w:val="single" w:sz="8" w:color="DBDBDB"/>
            </w:tcBorders>
          </w:tcPr>
          <w:p>
            <w:pPr>
              <w:jc w:val="center"/>
              <w:ind w:left="88"/>
              <w:spacing w:after="0"/>
              <w:rPr>
                <w:sz w:val="20"/>
                <w:szCs w:val="20"/>
                <w:color w:val="auto"/>
              </w:rPr>
            </w:pPr>
            <w:r>
              <w:rPr>
                <w:rFonts w:ascii="Times New Roman" w:cs="Times New Roman" w:eastAsia="Times New Roman" w:hAnsi="Times New Roman"/>
                <w:sz w:val="14"/>
                <w:szCs w:val="14"/>
                <w:color w:val="auto"/>
              </w:rPr>
              <w:t>$125.94</w:t>
            </w:r>
          </w:p>
        </w:tc>
        <w:tc>
          <w:tcPr>
            <w:tcW w:w="10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50%</w:t>
            </w:r>
          </w:p>
        </w:tc>
        <w:tc>
          <w:tcPr>
            <w:tcW w:w="2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46%</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60" w:type="dxa"/>
            <w:vAlign w:val="bottom"/>
            <w:tcBorders>
              <w:bottom w:val="single" w:sz="8" w:color="DBDBDB"/>
            </w:tcBorders>
          </w:tcPr>
          <w:p>
            <w:pPr>
              <w:spacing w:after="0"/>
              <w:rPr>
                <w:sz w:val="3"/>
                <w:szCs w:val="3"/>
                <w:color w:val="auto"/>
              </w:rPr>
            </w:pPr>
          </w:p>
        </w:tc>
        <w:tc>
          <w:tcPr>
            <w:tcW w:w="1180" w:type="dxa"/>
            <w:vAlign w:val="bottom"/>
            <w:tcBorders>
              <w:bottom w:val="single" w:sz="8" w:color="DBDBDB"/>
            </w:tcBorders>
          </w:tcPr>
          <w:p>
            <w:pPr>
              <w:spacing w:after="0"/>
              <w:rPr>
                <w:sz w:val="3"/>
                <w:szCs w:val="3"/>
                <w:color w:val="auto"/>
              </w:rPr>
            </w:pPr>
          </w:p>
        </w:tc>
        <w:tc>
          <w:tcPr>
            <w:tcW w:w="1100" w:type="dxa"/>
            <w:vAlign w:val="bottom"/>
            <w:tcBorders>
              <w:bottom w:val="single" w:sz="8" w:color="DBDBDB"/>
              <w:right w:val="single" w:sz="8" w:color="DBDBDB"/>
            </w:tcBorders>
          </w:tcPr>
          <w:p>
            <w:pPr>
              <w:spacing w:after="0"/>
              <w:rPr>
                <w:sz w:val="3"/>
                <w:szCs w:val="3"/>
                <w:color w:val="auto"/>
              </w:rPr>
            </w:pPr>
          </w:p>
        </w:tc>
        <w:tc>
          <w:tcPr>
            <w:tcW w:w="1620" w:type="dxa"/>
            <w:vAlign w:val="bottom"/>
            <w:tcBorders>
              <w:bottom w:val="single" w:sz="8" w:color="DBDBD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1160" w:type="dxa"/>
            <w:vAlign w:val="bottom"/>
            <w:tcBorders>
              <w:bottom w:val="single" w:sz="8" w:color="DBDBDB"/>
              <w:right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2120" w:type="dxa"/>
            <w:vAlign w:val="bottom"/>
            <w:tcBorders>
              <w:bottom w:val="single" w:sz="8" w:color="DBDBDB"/>
            </w:tcBorders>
          </w:tcPr>
          <w:p>
            <w:pPr>
              <w:spacing w:after="0"/>
              <w:rPr>
                <w:sz w:val="3"/>
                <w:szCs w:val="3"/>
                <w:color w:val="auto"/>
              </w:rPr>
            </w:pPr>
          </w:p>
        </w:tc>
        <w:tc>
          <w:tcPr>
            <w:tcW w:w="106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2024-2026</w:t>
            </w:r>
          </w:p>
        </w:tc>
        <w:tc>
          <w:tcPr>
            <w:tcW w:w="1100" w:type="dxa"/>
            <w:vAlign w:val="bottom"/>
            <w:tcBorders>
              <w:right w:val="single" w:sz="8" w:color="DBDBDB"/>
            </w:tcBorders>
          </w:tcPr>
          <w:p>
            <w:pPr>
              <w:jc w:val="center"/>
              <w:ind w:right="48"/>
              <w:spacing w:after="0"/>
              <w:rPr>
                <w:sz w:val="20"/>
                <w:szCs w:val="20"/>
                <w:color w:val="auto"/>
              </w:rPr>
            </w:pPr>
            <w:r>
              <w:rPr>
                <w:rFonts w:ascii="Times New Roman" w:cs="Times New Roman" w:eastAsia="Times New Roman" w:hAnsi="Times New Roman"/>
                <w:sz w:val="14"/>
                <w:szCs w:val="14"/>
                <w:color w:val="auto"/>
              </w:rPr>
              <w:t>2/20/2024</w:t>
            </w: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w:t>
            </w: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100%</w:t>
            </w:r>
          </w:p>
        </w:tc>
        <w:tc>
          <w:tcPr>
            <w:tcW w:w="1160" w:type="dxa"/>
            <w:vAlign w:val="bottom"/>
            <w:tcBorders>
              <w:right w:val="single" w:sz="8" w:color="DBDBDB"/>
            </w:tcBorders>
          </w:tcPr>
          <w:p>
            <w:pPr>
              <w:jc w:val="center"/>
              <w:ind w:left="88"/>
              <w:spacing w:after="0"/>
              <w:rPr>
                <w:sz w:val="20"/>
                <w:szCs w:val="20"/>
                <w:color w:val="auto"/>
              </w:rPr>
            </w:pPr>
            <w:r>
              <w:rPr>
                <w:rFonts w:ascii="Times New Roman" w:cs="Times New Roman" w:eastAsia="Times New Roman" w:hAnsi="Times New Roman"/>
                <w:sz w:val="14"/>
                <w:szCs w:val="14"/>
                <w:color w:val="auto"/>
              </w:rPr>
              <w:t>$105.21</w:t>
            </w:r>
          </w:p>
        </w:tc>
        <w:tc>
          <w:tcPr>
            <w:tcW w:w="10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50%</w:t>
            </w:r>
          </w:p>
        </w:tc>
        <w:tc>
          <w:tcPr>
            <w:tcW w:w="2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58%</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60" w:type="dxa"/>
            <w:vAlign w:val="bottom"/>
            <w:tcBorders>
              <w:bottom w:val="single" w:sz="8" w:color="DBDBDB"/>
            </w:tcBorders>
          </w:tcPr>
          <w:p>
            <w:pPr>
              <w:spacing w:after="0"/>
              <w:rPr>
                <w:sz w:val="3"/>
                <w:szCs w:val="3"/>
                <w:color w:val="auto"/>
              </w:rPr>
            </w:pPr>
          </w:p>
        </w:tc>
        <w:tc>
          <w:tcPr>
            <w:tcW w:w="1180" w:type="dxa"/>
            <w:vAlign w:val="bottom"/>
            <w:tcBorders>
              <w:bottom w:val="single" w:sz="8" w:color="DBDBDB"/>
            </w:tcBorders>
          </w:tcPr>
          <w:p>
            <w:pPr>
              <w:spacing w:after="0"/>
              <w:rPr>
                <w:sz w:val="3"/>
                <w:szCs w:val="3"/>
                <w:color w:val="auto"/>
              </w:rPr>
            </w:pPr>
          </w:p>
        </w:tc>
        <w:tc>
          <w:tcPr>
            <w:tcW w:w="1100" w:type="dxa"/>
            <w:vAlign w:val="bottom"/>
            <w:tcBorders>
              <w:bottom w:val="single" w:sz="8" w:color="DBDBDB"/>
              <w:right w:val="single" w:sz="8" w:color="DBDBDB"/>
            </w:tcBorders>
          </w:tcPr>
          <w:p>
            <w:pPr>
              <w:spacing w:after="0"/>
              <w:rPr>
                <w:sz w:val="3"/>
                <w:szCs w:val="3"/>
                <w:color w:val="auto"/>
              </w:rPr>
            </w:pPr>
          </w:p>
        </w:tc>
        <w:tc>
          <w:tcPr>
            <w:tcW w:w="1620" w:type="dxa"/>
            <w:vAlign w:val="bottom"/>
            <w:tcBorders>
              <w:bottom w:val="single" w:sz="8" w:color="DBDBD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1160" w:type="dxa"/>
            <w:vAlign w:val="bottom"/>
            <w:tcBorders>
              <w:bottom w:val="single" w:sz="8" w:color="DBDBDB"/>
              <w:right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2120" w:type="dxa"/>
            <w:vAlign w:val="bottom"/>
            <w:tcBorders>
              <w:bottom w:val="single" w:sz="8" w:color="DBDBDB"/>
            </w:tcBorders>
          </w:tcPr>
          <w:p>
            <w:pPr>
              <w:spacing w:after="0"/>
              <w:rPr>
                <w:sz w:val="3"/>
                <w:szCs w:val="3"/>
                <w:color w:val="auto"/>
              </w:rPr>
            </w:pPr>
          </w:p>
        </w:tc>
        <w:tc>
          <w:tcPr>
            <w:tcW w:w="106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2023-2025</w:t>
            </w:r>
          </w:p>
        </w:tc>
        <w:tc>
          <w:tcPr>
            <w:tcW w:w="1100" w:type="dxa"/>
            <w:vAlign w:val="bottom"/>
            <w:tcBorders>
              <w:right w:val="single" w:sz="8" w:color="DBDBDB"/>
            </w:tcBorders>
          </w:tcPr>
          <w:p>
            <w:pPr>
              <w:jc w:val="center"/>
              <w:ind w:right="48"/>
              <w:spacing w:after="0"/>
              <w:rPr>
                <w:sz w:val="20"/>
                <w:szCs w:val="20"/>
                <w:color w:val="auto"/>
              </w:rPr>
            </w:pPr>
            <w:r>
              <w:rPr>
                <w:rFonts w:ascii="Times New Roman" w:cs="Times New Roman" w:eastAsia="Times New Roman" w:hAnsi="Times New Roman"/>
                <w:sz w:val="14"/>
                <w:szCs w:val="14"/>
                <w:color w:val="auto"/>
              </w:rPr>
              <w:t>2/22/2023</w:t>
            </w: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100%</w:t>
            </w:r>
          </w:p>
        </w:tc>
        <w:tc>
          <w:tcPr>
            <w:tcW w:w="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100%</w:t>
            </w:r>
          </w:p>
        </w:tc>
        <w:tc>
          <w:tcPr>
            <w:tcW w:w="1160" w:type="dxa"/>
            <w:vAlign w:val="bottom"/>
            <w:tcBorders>
              <w:right w:val="single" w:sz="8" w:color="DBDBDB"/>
            </w:tcBorders>
          </w:tcPr>
          <w:p>
            <w:pPr>
              <w:jc w:val="center"/>
              <w:ind w:left="88"/>
              <w:spacing w:after="0"/>
              <w:rPr>
                <w:sz w:val="20"/>
                <w:szCs w:val="20"/>
                <w:color w:val="auto"/>
              </w:rPr>
            </w:pPr>
            <w:r>
              <w:rPr>
                <w:rFonts w:ascii="Times New Roman" w:cs="Times New Roman" w:eastAsia="Times New Roman" w:hAnsi="Times New Roman"/>
                <w:sz w:val="14"/>
                <w:szCs w:val="14"/>
                <w:color w:val="auto"/>
              </w:rPr>
              <w:t>$123.60</w:t>
            </w:r>
          </w:p>
        </w:tc>
        <w:tc>
          <w:tcPr>
            <w:tcW w:w="10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100%</w:t>
            </w:r>
          </w:p>
        </w:tc>
        <w:tc>
          <w:tcPr>
            <w:tcW w:w="21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53%</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60" w:type="dxa"/>
            <w:vAlign w:val="bottom"/>
            <w:tcBorders>
              <w:bottom w:val="single" w:sz="8" w:color="DBDBDB"/>
            </w:tcBorders>
          </w:tcPr>
          <w:p>
            <w:pPr>
              <w:spacing w:after="0"/>
              <w:rPr>
                <w:sz w:val="3"/>
                <w:szCs w:val="3"/>
                <w:color w:val="auto"/>
              </w:rPr>
            </w:pPr>
          </w:p>
        </w:tc>
        <w:tc>
          <w:tcPr>
            <w:tcW w:w="1180" w:type="dxa"/>
            <w:vAlign w:val="bottom"/>
            <w:tcBorders>
              <w:bottom w:val="single" w:sz="8" w:color="DBDBDB"/>
            </w:tcBorders>
          </w:tcPr>
          <w:p>
            <w:pPr>
              <w:spacing w:after="0"/>
              <w:rPr>
                <w:sz w:val="3"/>
                <w:szCs w:val="3"/>
                <w:color w:val="auto"/>
              </w:rPr>
            </w:pPr>
          </w:p>
        </w:tc>
        <w:tc>
          <w:tcPr>
            <w:tcW w:w="1100" w:type="dxa"/>
            <w:vAlign w:val="bottom"/>
            <w:tcBorders>
              <w:bottom w:val="single" w:sz="8" w:color="DBDBDB"/>
              <w:right w:val="single" w:sz="8" w:color="DBDBDB"/>
            </w:tcBorders>
          </w:tcPr>
          <w:p>
            <w:pPr>
              <w:spacing w:after="0"/>
              <w:rPr>
                <w:sz w:val="3"/>
                <w:szCs w:val="3"/>
                <w:color w:val="auto"/>
              </w:rPr>
            </w:pPr>
          </w:p>
        </w:tc>
        <w:tc>
          <w:tcPr>
            <w:tcW w:w="1620" w:type="dxa"/>
            <w:vAlign w:val="bottom"/>
            <w:tcBorders>
              <w:bottom w:val="single" w:sz="8" w:color="DBDBD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1160" w:type="dxa"/>
            <w:vAlign w:val="bottom"/>
            <w:tcBorders>
              <w:bottom w:val="single" w:sz="8" w:color="DBDBDB"/>
              <w:right w:val="single" w:sz="8" w:color="DBDBDB"/>
            </w:tcBorders>
          </w:tcPr>
          <w:p>
            <w:pPr>
              <w:spacing w:after="0"/>
              <w:rPr>
                <w:sz w:val="3"/>
                <w:szCs w:val="3"/>
                <w:color w:val="auto"/>
              </w:rPr>
            </w:pPr>
          </w:p>
        </w:tc>
        <w:tc>
          <w:tcPr>
            <w:tcW w:w="10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2120" w:type="dxa"/>
            <w:vAlign w:val="bottom"/>
            <w:tcBorders>
              <w:bottom w:val="single" w:sz="8" w:color="DBDBDB"/>
            </w:tcBorders>
          </w:tcPr>
          <w:p>
            <w:pPr>
              <w:spacing w:after="0"/>
              <w:rPr>
                <w:sz w:val="3"/>
                <w:szCs w:val="3"/>
                <w:color w:val="auto"/>
              </w:rPr>
            </w:pPr>
          </w:p>
        </w:tc>
        <w:tc>
          <w:tcPr>
            <w:tcW w:w="106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-470535</wp:posOffset>
            </wp:positionV>
            <wp:extent cx="8890" cy="4711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471170"/>
                    </a:xfrm>
                    <a:prstGeom prst="rect">
                      <a:avLst/>
                    </a:prstGeom>
                    <a:noFill/>
                  </pic:spPr>
                </pic:pic>
              </a:graphicData>
            </a:graphic>
          </wp:anchor>
        </w:drawing>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color w:val="auto"/>
        </w:rPr>
        <w:t>If the maximum awards were achieved for the NEOs for the 2025-2027 performance period as reflected in the 2025 row of the Summary Compensation Table, each award would be valued as</w:t>
      </w:r>
    </w:p>
    <w:p>
      <w:pPr>
        <w:ind w:left="80"/>
        <w:spacing w:after="0" w:line="209" w:lineRule="auto"/>
        <w:rPr>
          <w:sz w:val="20"/>
          <w:szCs w:val="20"/>
          <w:color w:val="auto"/>
        </w:rPr>
      </w:pPr>
      <w:r>
        <w:rPr>
          <w:rFonts w:ascii="Times New Roman" w:cs="Times New Roman" w:eastAsia="Times New Roman" w:hAnsi="Times New Roman"/>
          <w:sz w:val="14"/>
          <w:szCs w:val="14"/>
          <w:i w:val="1"/>
          <w:iCs w:val="1"/>
          <w:color w:val="auto"/>
        </w:rPr>
        <w:t>follows: Householder - $4,414,701, Cooper - $1,291,641, Moriarty - $1,216,580, Sylvester - $857,651, and Webber - $590,659. If the maximum awards were achieved for the NEOs for the</w:t>
      </w:r>
    </w:p>
    <w:p>
      <w:pPr>
        <w:ind w:left="80"/>
        <w:spacing w:after="0" w:line="221" w:lineRule="auto"/>
        <w:rPr>
          <w:sz w:val="20"/>
          <w:szCs w:val="20"/>
          <w:color w:val="auto"/>
        </w:rPr>
      </w:pPr>
      <w:r>
        <w:rPr>
          <w:rFonts w:ascii="Times New Roman" w:cs="Times New Roman" w:eastAsia="Times New Roman" w:hAnsi="Times New Roman"/>
          <w:sz w:val="14"/>
          <w:szCs w:val="14"/>
          <w:i w:val="1"/>
          <w:iCs w:val="1"/>
          <w:color w:val="auto"/>
        </w:rPr>
        <w:t>2024-2026 performance period as reflected in the 2024 row of the Summary Compensation Table, each award would be valued as follows: Householder - $3,681,298, Cooper - $1,286,087, Moriarty - $1,210,757, Sylvester - $695,017, and Webber - $573,184. If the maximum awards were achieved for the NEOs for the 2023-2025 performance period as reflected in the 2023 row of</w:t>
      </w:r>
    </w:p>
    <w:p>
      <w:pPr>
        <w:spacing w:after="0" w:line="1" w:lineRule="exact"/>
        <w:rPr>
          <w:sz w:val="20"/>
          <w:szCs w:val="20"/>
          <w:color w:val="auto"/>
        </w:rPr>
      </w:pPr>
    </w:p>
    <w:p>
      <w:pPr>
        <w:ind w:left="80" w:right="20"/>
        <w:spacing w:after="0" w:line="229" w:lineRule="auto"/>
        <w:rPr>
          <w:sz w:val="20"/>
          <w:szCs w:val="20"/>
          <w:color w:val="auto"/>
        </w:rPr>
      </w:pPr>
      <w:r>
        <w:rPr>
          <w:rFonts w:ascii="Times New Roman" w:cs="Times New Roman" w:eastAsia="Times New Roman" w:hAnsi="Times New Roman"/>
          <w:sz w:val="14"/>
          <w:szCs w:val="14"/>
          <w:i w:val="1"/>
          <w:iCs w:val="1"/>
          <w:color w:val="auto"/>
        </w:rPr>
        <w:t>the Summary Compensation Table, each award would be valued as follows: Householder - $3,329,585, Cooper - $1,191,279, Moriarty - $1,191,279, Sylvester - $614,637, and Webber - $525,982. Actual awards earned for the 2023-2025 performance period are reflected in the 2023 Equity Incentive Awards section.</w:t>
      </w:r>
    </w:p>
    <w:p>
      <w:pPr>
        <w:spacing w:after="0" w:line="38" w:lineRule="exact"/>
        <w:rPr>
          <w:sz w:val="20"/>
          <w:szCs w:val="20"/>
          <w:color w:val="auto"/>
        </w:rPr>
      </w:pPr>
    </w:p>
    <w:p>
      <w:pPr>
        <w:ind w:left="80" w:hanging="72"/>
        <w:spacing w:after="0"/>
        <w:tabs>
          <w:tab w:leader="none" w:pos="80" w:val="left"/>
        </w:tabs>
        <w:numPr>
          <w:ilvl w:val="0"/>
          <w:numId w:val="4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non-equity incentive plan compensation represents a payout for the 2025 cash incentive award in the form of cash.</w:t>
      </w:r>
    </w:p>
    <w:p>
      <w:pPr>
        <w:spacing w:after="0" w:line="38" w:lineRule="exact"/>
        <w:rPr>
          <w:sz w:val="20"/>
          <w:szCs w:val="20"/>
          <w:color w:val="auto"/>
        </w:rPr>
      </w:pPr>
    </w:p>
    <w:p>
      <w:pPr>
        <w:ind w:left="100" w:hanging="92"/>
        <w:spacing w:after="0"/>
        <w:tabs>
          <w:tab w:leader="none" w:pos="100" w:val="left"/>
        </w:tabs>
        <w:numPr>
          <w:ilvl w:val="0"/>
          <w:numId w:val="4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NEOs received payment in March 2026, March 2025, and March 2024 for performance during 2025, 2024, and 2023 respectively. The awards are granted pursuant to the 2015 Cash Plan.</w:t>
      </w:r>
    </w:p>
    <w:p>
      <w:pPr>
        <w:spacing w:after="0" w:line="55" w:lineRule="exact"/>
        <w:rPr>
          <w:rFonts w:ascii="Times New Roman" w:cs="Times New Roman" w:eastAsia="Times New Roman" w:hAnsi="Times New Roman"/>
          <w:sz w:val="19"/>
          <w:szCs w:val="19"/>
          <w:i w:val="1"/>
          <w:iCs w:val="1"/>
          <w:color w:val="auto"/>
          <w:vertAlign w:val="superscript"/>
        </w:rPr>
      </w:pPr>
    </w:p>
    <w:p>
      <w:pPr>
        <w:spacing w:after="0"/>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9"/>
          <w:szCs w:val="9"/>
          <w:i w:val="1"/>
          <w:iCs w:val="1"/>
          <w:color w:val="auto"/>
        </w:rPr>
        <w:t xml:space="preserve">5 </w:t>
      </w:r>
      <w:r>
        <w:rPr>
          <w:rFonts w:ascii="Times New Roman" w:cs="Times New Roman" w:eastAsia="Times New Roman" w:hAnsi="Times New Roman"/>
          <w:sz w:val="14"/>
          <w:szCs w:val="14"/>
          <w:i w:val="1"/>
          <w:iCs w:val="1"/>
          <w:color w:val="auto"/>
        </w:rPr>
        <w:t>The following table includes payments that were made by the Company on behalf of the NEOs in 2025, 2024 and 2023,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74930</wp:posOffset>
            </wp:positionV>
            <wp:extent cx="7020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860" w:type="dxa"/>
            <w:vAlign w:val="bottom"/>
          </w:tcPr>
          <w:p>
            <w:pPr>
              <w:spacing w:after="0"/>
              <w:rPr>
                <w:sz w:val="15"/>
                <w:szCs w:val="15"/>
                <w:color w:val="auto"/>
              </w:rPr>
            </w:pPr>
          </w:p>
        </w:tc>
        <w:tc>
          <w:tcPr>
            <w:tcW w:w="24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Qualified and Non-Qualified</w:t>
            </w:r>
          </w:p>
        </w:tc>
        <w:tc>
          <w:tcPr>
            <w:tcW w:w="64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Life</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on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4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401(k) Plan Matching and</w:t>
            </w:r>
          </w:p>
        </w:tc>
        <w:tc>
          <w:tcPr>
            <w:tcW w:w="6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earned for the 2023-2025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60" w:type="dxa"/>
            <w:vAlign w:val="bottom"/>
          </w:tcPr>
          <w:p>
            <w:pPr>
              <w:spacing w:after="0"/>
              <w:rPr>
                <w:sz w:val="17"/>
                <w:szCs w:val="17"/>
                <w:color w:val="auto"/>
              </w:rPr>
            </w:pPr>
          </w:p>
        </w:tc>
        <w:tc>
          <w:tcPr>
            <w:tcW w:w="24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Supplemental Contributions</w:t>
            </w:r>
          </w:p>
        </w:tc>
        <w:tc>
          <w:tcPr>
            <w:tcW w:w="238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Insurance Premiums</w:t>
            </w:r>
          </w:p>
        </w:tc>
        <w:tc>
          <w:tcPr>
            <w:tcW w:w="22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Vehicle Allowance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60" w:type="dxa"/>
            <w:vAlign w:val="bottom"/>
          </w:tcPr>
          <w:p>
            <w:pPr>
              <w:spacing w:after="0"/>
              <w:rPr>
                <w:sz w:val="2"/>
                <w:szCs w:val="2"/>
                <w:color w:val="auto"/>
              </w:rPr>
            </w:pPr>
          </w:p>
        </w:tc>
        <w:tc>
          <w:tcPr>
            <w:tcW w:w="740" w:type="dxa"/>
            <w:vAlign w:val="bottom"/>
            <w:tcBorders>
              <w:bottom w:val="single" w:sz="8" w:color="B6B6B6"/>
            </w:tcBorders>
          </w:tcPr>
          <w:p>
            <w:pPr>
              <w:spacing w:after="0"/>
              <w:rPr>
                <w:sz w:val="2"/>
                <w:szCs w:val="2"/>
                <w:color w:val="auto"/>
              </w:rPr>
            </w:pPr>
          </w:p>
        </w:tc>
        <w:tc>
          <w:tcPr>
            <w:tcW w:w="780" w:type="dxa"/>
            <w:vAlign w:val="bottom"/>
            <w:tcBorders>
              <w:bottom w:val="single" w:sz="8" w:color="B6B6B6"/>
            </w:tcBorders>
          </w:tcPr>
          <w:p>
            <w:pPr>
              <w:spacing w:after="0"/>
              <w:rPr>
                <w:sz w:val="2"/>
                <w:szCs w:val="2"/>
                <w:color w:val="auto"/>
              </w:rPr>
            </w:pPr>
          </w:p>
        </w:tc>
        <w:tc>
          <w:tcPr>
            <w:tcW w:w="920" w:type="dxa"/>
            <w:vAlign w:val="bottom"/>
            <w:tcBorders>
              <w:bottom w:val="single" w:sz="8" w:color="B6B6B6"/>
            </w:tcBorders>
          </w:tcPr>
          <w:p>
            <w:pPr>
              <w:spacing w:after="0"/>
              <w:rPr>
                <w:sz w:val="2"/>
                <w:szCs w:val="2"/>
                <w:color w:val="auto"/>
              </w:rPr>
            </w:pPr>
          </w:p>
        </w:tc>
        <w:tc>
          <w:tcPr>
            <w:tcW w:w="640" w:type="dxa"/>
            <w:vAlign w:val="bottom"/>
            <w:tcBorders>
              <w:bottom w:val="single" w:sz="8" w:color="B6B6B6"/>
            </w:tcBorders>
          </w:tcPr>
          <w:p>
            <w:pPr>
              <w:spacing w:after="0"/>
              <w:rPr>
                <w:sz w:val="2"/>
                <w:szCs w:val="2"/>
                <w:color w:val="auto"/>
              </w:rPr>
            </w:pPr>
          </w:p>
        </w:tc>
        <w:tc>
          <w:tcPr>
            <w:tcW w:w="900" w:type="dxa"/>
            <w:vAlign w:val="bottom"/>
            <w:tcBorders>
              <w:bottom w:val="single" w:sz="8" w:color="B6B6B6"/>
            </w:tcBorders>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760" w:type="dxa"/>
            <w:vAlign w:val="bottom"/>
            <w:tcBorders>
              <w:bottom w:val="single" w:sz="8" w:color="B6B6B6"/>
            </w:tcBorders>
          </w:tcPr>
          <w:p>
            <w:pPr>
              <w:spacing w:after="0"/>
              <w:rPr>
                <w:sz w:val="2"/>
                <w:szCs w:val="2"/>
                <w:color w:val="auto"/>
              </w:rPr>
            </w:pPr>
          </w:p>
        </w:tc>
        <w:tc>
          <w:tcPr>
            <w:tcW w:w="720" w:type="dxa"/>
            <w:vAlign w:val="bottom"/>
            <w:tcBorders>
              <w:bottom w:val="single" w:sz="8" w:color="B6B6B6"/>
            </w:tcBorders>
          </w:tcPr>
          <w:p>
            <w:pPr>
              <w:spacing w:after="0"/>
              <w:rPr>
                <w:sz w:val="2"/>
                <w:szCs w:val="2"/>
                <w:color w:val="auto"/>
              </w:rPr>
            </w:pPr>
          </w:p>
        </w:tc>
        <w:tc>
          <w:tcPr>
            <w:tcW w:w="800" w:type="dxa"/>
            <w:vAlign w:val="bottom"/>
            <w:tcBorders>
              <w:bottom w:val="single" w:sz="8" w:color="B6B6B6"/>
            </w:tcBorders>
          </w:tcPr>
          <w:p>
            <w:pPr>
              <w:spacing w:after="0"/>
              <w:rPr>
                <w:sz w:val="2"/>
                <w:szCs w:val="2"/>
                <w:color w:val="auto"/>
              </w:rPr>
            </w:pPr>
          </w:p>
        </w:tc>
        <w:tc>
          <w:tcPr>
            <w:tcW w:w="2100" w:type="dxa"/>
            <w:vAlign w:val="bottom"/>
            <w:tcBorders>
              <w:bottom w:val="single" w:sz="8" w:color="B6B6B6"/>
            </w:tcBorders>
          </w:tcPr>
          <w:p>
            <w:pPr>
              <w:spacing w:after="0"/>
              <w:rPr>
                <w:sz w:val="2"/>
                <w:szCs w:val="2"/>
                <w:color w:val="auto"/>
              </w:rPr>
            </w:pPr>
          </w:p>
        </w:tc>
        <w:tc>
          <w:tcPr>
            <w:tcW w:w="2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right w:val="single" w:sz="8" w:color="CBCBCB"/>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right w:val="single" w:sz="8" w:color="CBCBCB"/>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0" w:type="dxa"/>
            <w:vAlign w:val="bottom"/>
            <w:tcBorders>
              <w:right w:val="single" w:sz="8" w:color="CBCBCB"/>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86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780" w:type="dxa"/>
            <w:vAlign w:val="bottom"/>
            <w:tcBorders>
              <w:bottom w:val="single" w:sz="8" w:color="DBDBDB"/>
            </w:tcBorders>
          </w:tcPr>
          <w:p>
            <w:pPr>
              <w:spacing w:after="0"/>
              <w:rPr>
                <w:sz w:val="3"/>
                <w:szCs w:val="3"/>
                <w:color w:val="auto"/>
              </w:rPr>
            </w:pPr>
          </w:p>
        </w:tc>
        <w:tc>
          <w:tcPr>
            <w:tcW w:w="920" w:type="dxa"/>
            <w:vAlign w:val="bottom"/>
            <w:tcBorders>
              <w:bottom w:val="single" w:sz="8" w:color="DBDBDB"/>
              <w:right w:val="single" w:sz="8" w:color="CBCBCB"/>
            </w:tcBorders>
          </w:tcPr>
          <w:p>
            <w:pPr>
              <w:spacing w:after="0"/>
              <w:rPr>
                <w:sz w:val="3"/>
                <w:szCs w:val="3"/>
                <w:color w:val="auto"/>
              </w:rPr>
            </w:pPr>
          </w:p>
        </w:tc>
        <w:tc>
          <w:tcPr>
            <w:tcW w:w="6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840" w:type="dxa"/>
            <w:vAlign w:val="bottom"/>
            <w:tcBorders>
              <w:bottom w:val="single" w:sz="8" w:color="DBDBDB"/>
              <w:right w:val="single" w:sz="8" w:color="CBCBC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720" w:type="dxa"/>
            <w:vAlign w:val="bottom"/>
            <w:tcBorders>
              <w:bottom w:val="single" w:sz="8" w:color="DBDBDB"/>
            </w:tcBorders>
          </w:tcPr>
          <w:p>
            <w:pPr>
              <w:spacing w:after="0"/>
              <w:rPr>
                <w:sz w:val="3"/>
                <w:szCs w:val="3"/>
                <w:color w:val="auto"/>
              </w:rPr>
            </w:pPr>
          </w:p>
        </w:tc>
        <w:tc>
          <w:tcPr>
            <w:tcW w:w="800" w:type="dxa"/>
            <w:vAlign w:val="bottom"/>
            <w:tcBorders>
              <w:bottom w:val="single" w:sz="8" w:color="DBDBDB"/>
              <w:right w:val="single" w:sz="8" w:color="CBCBCB"/>
            </w:tcBorders>
          </w:tcPr>
          <w:p>
            <w:pPr>
              <w:spacing w:after="0"/>
              <w:rPr>
                <w:sz w:val="3"/>
                <w:szCs w:val="3"/>
                <w:color w:val="auto"/>
              </w:rPr>
            </w:pPr>
          </w:p>
        </w:tc>
        <w:tc>
          <w:tcPr>
            <w:tcW w:w="2100" w:type="dxa"/>
            <w:vAlign w:val="bottom"/>
            <w:tcBorders>
              <w:bottom w:val="single" w:sz="8" w:color="DBDBDB"/>
            </w:tcBorders>
          </w:tcPr>
          <w:p>
            <w:pPr>
              <w:spacing w:after="0"/>
              <w:rPr>
                <w:sz w:val="3"/>
                <w:szCs w:val="3"/>
                <w:color w:val="auto"/>
              </w:rPr>
            </w:pPr>
          </w:p>
        </w:tc>
        <w:tc>
          <w:tcPr>
            <w:tcW w:w="20" w:type="dxa"/>
            <w:vAlign w:val="bottom"/>
            <w:tcBorders>
              <w:bottom w:val="single" w:sz="8" w:color="DBDBDB"/>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Jeffry M. Householder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$24,942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$106,421</w:t>
            </w:r>
          </w:p>
        </w:tc>
        <w:tc>
          <w:tcPr>
            <w:tcW w:w="920" w:type="dxa"/>
            <w:vAlign w:val="bottom"/>
            <w:tcBorders>
              <w:right w:val="single" w:sz="8" w:color="CBCBCB"/>
            </w:tcBorders>
          </w:tcPr>
          <w:p>
            <w:pPr>
              <w:jc w:val="center"/>
              <w:ind w:right="108"/>
              <w:spacing w:after="0"/>
              <w:rPr>
                <w:sz w:val="20"/>
                <w:szCs w:val="20"/>
                <w:color w:val="auto"/>
              </w:rPr>
            </w:pPr>
            <w:r>
              <w:rPr>
                <w:rFonts w:ascii="Times New Roman" w:cs="Times New Roman" w:eastAsia="Times New Roman" w:hAnsi="Times New Roman"/>
                <w:sz w:val="14"/>
                <w:szCs w:val="14"/>
                <w:color w:val="auto"/>
              </w:rPr>
              <w:t>$127,505</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$480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$480</w:t>
            </w:r>
          </w:p>
        </w:tc>
        <w:tc>
          <w:tcPr>
            <w:tcW w:w="840" w:type="dxa"/>
            <w:vAlign w:val="bottom"/>
            <w:tcBorders>
              <w:right w:val="single" w:sz="8" w:color="CBCBCB"/>
            </w:tcBorders>
          </w:tcPr>
          <w:p>
            <w:pPr>
              <w:jc w:val="center"/>
              <w:ind w:right="188"/>
              <w:spacing w:after="0"/>
              <w:rPr>
                <w:sz w:val="20"/>
                <w:szCs w:val="20"/>
                <w:color w:val="auto"/>
              </w:rPr>
            </w:pPr>
            <w:r>
              <w:rPr>
                <w:rFonts w:ascii="Times New Roman" w:cs="Times New Roman" w:eastAsia="Times New Roman" w:hAnsi="Times New Roman"/>
                <w:sz w:val="14"/>
                <w:szCs w:val="14"/>
                <w:color w:val="auto"/>
              </w:rPr>
              <w:t>$480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$10,697</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$7,786</w:t>
            </w:r>
          </w:p>
        </w:tc>
        <w:tc>
          <w:tcPr>
            <w:tcW w:w="800" w:type="dxa"/>
            <w:vAlign w:val="bottom"/>
            <w:tcBorders>
              <w:right w:val="single" w:sz="8" w:color="CBCBCB"/>
            </w:tcBorders>
          </w:tcPr>
          <w:p>
            <w:pPr>
              <w:jc w:val="center"/>
              <w:spacing w:after="0"/>
              <w:rPr>
                <w:sz w:val="20"/>
                <w:szCs w:val="20"/>
                <w:color w:val="auto"/>
              </w:rPr>
            </w:pPr>
            <w:r>
              <w:rPr>
                <w:rFonts w:ascii="Times New Roman" w:cs="Times New Roman" w:eastAsia="Times New Roman" w:hAnsi="Times New Roman"/>
                <w:sz w:val="14"/>
                <w:szCs w:val="14"/>
                <w:color w:val="auto"/>
              </w:rPr>
              <w:t>$12,523</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$158,634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780" w:type="dxa"/>
            <w:vAlign w:val="bottom"/>
            <w:tcBorders>
              <w:bottom w:val="single" w:sz="8" w:color="DBDBDB"/>
            </w:tcBorders>
          </w:tcPr>
          <w:p>
            <w:pPr>
              <w:spacing w:after="0"/>
              <w:rPr>
                <w:sz w:val="3"/>
                <w:szCs w:val="3"/>
                <w:color w:val="auto"/>
              </w:rPr>
            </w:pPr>
          </w:p>
        </w:tc>
        <w:tc>
          <w:tcPr>
            <w:tcW w:w="920" w:type="dxa"/>
            <w:vAlign w:val="bottom"/>
            <w:tcBorders>
              <w:bottom w:val="single" w:sz="8" w:color="DBDBDB"/>
              <w:right w:val="single" w:sz="8" w:color="CBCBCB"/>
            </w:tcBorders>
          </w:tcPr>
          <w:p>
            <w:pPr>
              <w:spacing w:after="0"/>
              <w:rPr>
                <w:sz w:val="3"/>
                <w:szCs w:val="3"/>
                <w:color w:val="auto"/>
              </w:rPr>
            </w:pPr>
          </w:p>
        </w:tc>
        <w:tc>
          <w:tcPr>
            <w:tcW w:w="6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840" w:type="dxa"/>
            <w:vAlign w:val="bottom"/>
            <w:tcBorders>
              <w:bottom w:val="single" w:sz="8" w:color="DBDBDB"/>
              <w:right w:val="single" w:sz="8" w:color="CBCBC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720" w:type="dxa"/>
            <w:vAlign w:val="bottom"/>
            <w:tcBorders>
              <w:bottom w:val="single" w:sz="8" w:color="DBDBDB"/>
            </w:tcBorders>
          </w:tcPr>
          <w:p>
            <w:pPr>
              <w:spacing w:after="0"/>
              <w:rPr>
                <w:sz w:val="3"/>
                <w:szCs w:val="3"/>
                <w:color w:val="auto"/>
              </w:rPr>
            </w:pPr>
          </w:p>
        </w:tc>
        <w:tc>
          <w:tcPr>
            <w:tcW w:w="800" w:type="dxa"/>
            <w:vAlign w:val="bottom"/>
            <w:tcBorders>
              <w:bottom w:val="single" w:sz="8" w:color="DBDBDB"/>
              <w:right w:val="single" w:sz="8" w:color="CBCBCB"/>
            </w:tcBorders>
          </w:tcPr>
          <w:p>
            <w:pPr>
              <w:spacing w:after="0"/>
              <w:rPr>
                <w:sz w:val="3"/>
                <w:szCs w:val="3"/>
                <w:color w:val="auto"/>
              </w:rPr>
            </w:pPr>
          </w:p>
        </w:tc>
        <w:tc>
          <w:tcPr>
            <w:tcW w:w="2100" w:type="dxa"/>
            <w:vAlign w:val="bottom"/>
            <w:tcBorders>
              <w:bottom w:val="single" w:sz="8" w:color="DBDBD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Beth W. Cooper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$46,658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$53,887</w:t>
            </w:r>
          </w:p>
        </w:tc>
        <w:tc>
          <w:tcPr>
            <w:tcW w:w="920" w:type="dxa"/>
            <w:vAlign w:val="bottom"/>
            <w:tcBorders>
              <w:right w:val="single" w:sz="8" w:color="CBCBCB"/>
            </w:tcBorders>
          </w:tcPr>
          <w:p>
            <w:pPr>
              <w:jc w:val="center"/>
              <w:ind w:right="108"/>
              <w:spacing w:after="0"/>
              <w:rPr>
                <w:sz w:val="20"/>
                <w:szCs w:val="20"/>
                <w:color w:val="auto"/>
              </w:rPr>
            </w:pPr>
            <w:r>
              <w:rPr>
                <w:rFonts w:ascii="Times New Roman" w:cs="Times New Roman" w:eastAsia="Times New Roman" w:hAnsi="Times New Roman"/>
                <w:sz w:val="14"/>
                <w:szCs w:val="14"/>
                <w:color w:val="auto"/>
              </w:rPr>
              <w:t>$21,000</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$480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$480</w:t>
            </w:r>
          </w:p>
        </w:tc>
        <w:tc>
          <w:tcPr>
            <w:tcW w:w="840" w:type="dxa"/>
            <w:vAlign w:val="bottom"/>
            <w:tcBorders>
              <w:right w:val="single" w:sz="8" w:color="CBCBCB"/>
            </w:tcBorders>
          </w:tcPr>
          <w:p>
            <w:pPr>
              <w:jc w:val="center"/>
              <w:ind w:right="188"/>
              <w:spacing w:after="0"/>
              <w:rPr>
                <w:sz w:val="20"/>
                <w:szCs w:val="20"/>
                <w:color w:val="auto"/>
              </w:rPr>
            </w:pPr>
            <w:r>
              <w:rPr>
                <w:rFonts w:ascii="Times New Roman" w:cs="Times New Roman" w:eastAsia="Times New Roman" w:hAnsi="Times New Roman"/>
                <w:sz w:val="14"/>
                <w:szCs w:val="14"/>
                <w:color w:val="auto"/>
              </w:rPr>
              <w:t>$480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$7,849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$5,991</w:t>
            </w:r>
          </w:p>
        </w:tc>
        <w:tc>
          <w:tcPr>
            <w:tcW w:w="800" w:type="dxa"/>
            <w:vAlign w:val="bottom"/>
            <w:tcBorders>
              <w:right w:val="single" w:sz="8" w:color="CBCBCB"/>
            </w:tcBorders>
          </w:tcPr>
          <w:p>
            <w:pPr>
              <w:jc w:val="center"/>
              <w:spacing w:after="0"/>
              <w:rPr>
                <w:sz w:val="20"/>
                <w:szCs w:val="20"/>
                <w:color w:val="auto"/>
              </w:rPr>
            </w:pPr>
            <w:r>
              <w:rPr>
                <w:rFonts w:ascii="Times New Roman" w:cs="Times New Roman" w:eastAsia="Times New Roman" w:hAnsi="Times New Roman"/>
                <w:sz w:val="14"/>
                <w:szCs w:val="14"/>
                <w:color w:val="auto"/>
              </w:rPr>
              <w:t>$8,481</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780" w:type="dxa"/>
            <w:vAlign w:val="bottom"/>
            <w:tcBorders>
              <w:bottom w:val="single" w:sz="8" w:color="DBDBDB"/>
            </w:tcBorders>
          </w:tcPr>
          <w:p>
            <w:pPr>
              <w:spacing w:after="0"/>
              <w:rPr>
                <w:sz w:val="3"/>
                <w:szCs w:val="3"/>
                <w:color w:val="auto"/>
              </w:rPr>
            </w:pPr>
          </w:p>
        </w:tc>
        <w:tc>
          <w:tcPr>
            <w:tcW w:w="920" w:type="dxa"/>
            <w:vAlign w:val="bottom"/>
            <w:tcBorders>
              <w:bottom w:val="single" w:sz="8" w:color="DBDBDB"/>
              <w:right w:val="single" w:sz="8" w:color="CBCBCB"/>
            </w:tcBorders>
          </w:tcPr>
          <w:p>
            <w:pPr>
              <w:spacing w:after="0"/>
              <w:rPr>
                <w:sz w:val="3"/>
                <w:szCs w:val="3"/>
                <w:color w:val="auto"/>
              </w:rPr>
            </w:pPr>
          </w:p>
        </w:tc>
        <w:tc>
          <w:tcPr>
            <w:tcW w:w="6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840" w:type="dxa"/>
            <w:vAlign w:val="bottom"/>
            <w:tcBorders>
              <w:bottom w:val="single" w:sz="8" w:color="DBDBDB"/>
              <w:right w:val="single" w:sz="8" w:color="CBCBC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720" w:type="dxa"/>
            <w:vAlign w:val="bottom"/>
            <w:tcBorders>
              <w:bottom w:val="single" w:sz="8" w:color="DBDBDB"/>
            </w:tcBorders>
          </w:tcPr>
          <w:p>
            <w:pPr>
              <w:spacing w:after="0"/>
              <w:rPr>
                <w:sz w:val="3"/>
                <w:szCs w:val="3"/>
                <w:color w:val="auto"/>
              </w:rPr>
            </w:pPr>
          </w:p>
        </w:tc>
        <w:tc>
          <w:tcPr>
            <w:tcW w:w="800" w:type="dxa"/>
            <w:vAlign w:val="bottom"/>
            <w:tcBorders>
              <w:bottom w:val="single" w:sz="8" w:color="DBDBDB"/>
              <w:right w:val="single" w:sz="8" w:color="CBCBCB"/>
            </w:tcBorders>
          </w:tcPr>
          <w:p>
            <w:pPr>
              <w:spacing w:after="0"/>
              <w:rPr>
                <w:sz w:val="3"/>
                <w:szCs w:val="3"/>
                <w:color w:val="auto"/>
              </w:rPr>
            </w:pPr>
          </w:p>
        </w:tc>
        <w:tc>
          <w:tcPr>
            <w:tcW w:w="2100" w:type="dxa"/>
            <w:vAlign w:val="bottom"/>
            <w:tcBorders>
              <w:bottom w:val="single" w:sz="8" w:color="DBDBD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F. Moriarty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$24,891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$24,992</w:t>
            </w:r>
          </w:p>
        </w:tc>
        <w:tc>
          <w:tcPr>
            <w:tcW w:w="920" w:type="dxa"/>
            <w:vAlign w:val="bottom"/>
            <w:tcBorders>
              <w:right w:val="single" w:sz="8" w:color="CBCBCB"/>
            </w:tcBorders>
          </w:tcPr>
          <w:p>
            <w:pPr>
              <w:jc w:val="center"/>
              <w:ind w:right="108"/>
              <w:spacing w:after="0"/>
              <w:rPr>
                <w:sz w:val="20"/>
                <w:szCs w:val="20"/>
                <w:color w:val="auto"/>
              </w:rPr>
            </w:pPr>
            <w:r>
              <w:rPr>
                <w:rFonts w:ascii="Times New Roman" w:cs="Times New Roman" w:eastAsia="Times New Roman" w:hAnsi="Times New Roman"/>
                <w:sz w:val="14"/>
                <w:szCs w:val="14"/>
                <w:color w:val="auto"/>
              </w:rPr>
              <w:t>$21,000</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$520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$480</w:t>
            </w:r>
          </w:p>
        </w:tc>
        <w:tc>
          <w:tcPr>
            <w:tcW w:w="840" w:type="dxa"/>
            <w:vAlign w:val="bottom"/>
            <w:tcBorders>
              <w:right w:val="single" w:sz="8" w:color="CBCBCB"/>
            </w:tcBorders>
          </w:tcPr>
          <w:p>
            <w:pPr>
              <w:jc w:val="center"/>
              <w:ind w:right="188"/>
              <w:spacing w:after="0"/>
              <w:rPr>
                <w:sz w:val="20"/>
                <w:szCs w:val="20"/>
                <w:color w:val="auto"/>
              </w:rPr>
            </w:pPr>
            <w:r>
              <w:rPr>
                <w:rFonts w:ascii="Times New Roman" w:cs="Times New Roman" w:eastAsia="Times New Roman" w:hAnsi="Times New Roman"/>
                <w:sz w:val="14"/>
                <w:szCs w:val="14"/>
                <w:color w:val="auto"/>
              </w:rPr>
              <w:t>$520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$2,559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$1,931</w:t>
            </w:r>
          </w:p>
        </w:tc>
        <w:tc>
          <w:tcPr>
            <w:tcW w:w="800" w:type="dxa"/>
            <w:vAlign w:val="bottom"/>
            <w:tcBorders>
              <w:right w:val="single" w:sz="8" w:color="CBCBCB"/>
            </w:tcBorders>
          </w:tcPr>
          <w:p>
            <w:pPr>
              <w:jc w:val="center"/>
              <w:spacing w:after="0"/>
              <w:rPr>
                <w:sz w:val="20"/>
                <w:szCs w:val="20"/>
                <w:color w:val="auto"/>
              </w:rPr>
            </w:pPr>
            <w:r>
              <w:rPr>
                <w:rFonts w:ascii="Times New Roman" w:cs="Times New Roman" w:eastAsia="Times New Roman" w:hAnsi="Times New Roman"/>
                <w:sz w:val="14"/>
                <w:szCs w:val="14"/>
                <w:color w:val="auto"/>
              </w:rPr>
              <w:t>$2,895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$56,753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780" w:type="dxa"/>
            <w:vAlign w:val="bottom"/>
            <w:tcBorders>
              <w:bottom w:val="single" w:sz="8" w:color="DBDBDB"/>
            </w:tcBorders>
          </w:tcPr>
          <w:p>
            <w:pPr>
              <w:spacing w:after="0"/>
              <w:rPr>
                <w:sz w:val="3"/>
                <w:szCs w:val="3"/>
                <w:color w:val="auto"/>
              </w:rPr>
            </w:pPr>
          </w:p>
        </w:tc>
        <w:tc>
          <w:tcPr>
            <w:tcW w:w="920" w:type="dxa"/>
            <w:vAlign w:val="bottom"/>
            <w:tcBorders>
              <w:bottom w:val="single" w:sz="8" w:color="DBDBDB"/>
              <w:right w:val="single" w:sz="8" w:color="CBCBCB"/>
            </w:tcBorders>
          </w:tcPr>
          <w:p>
            <w:pPr>
              <w:spacing w:after="0"/>
              <w:rPr>
                <w:sz w:val="3"/>
                <w:szCs w:val="3"/>
                <w:color w:val="auto"/>
              </w:rPr>
            </w:pPr>
          </w:p>
        </w:tc>
        <w:tc>
          <w:tcPr>
            <w:tcW w:w="6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840" w:type="dxa"/>
            <w:vAlign w:val="bottom"/>
            <w:tcBorders>
              <w:bottom w:val="single" w:sz="8" w:color="DBDBDB"/>
              <w:right w:val="single" w:sz="8" w:color="CBCBC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720" w:type="dxa"/>
            <w:vAlign w:val="bottom"/>
            <w:tcBorders>
              <w:bottom w:val="single" w:sz="8" w:color="DBDBDB"/>
            </w:tcBorders>
          </w:tcPr>
          <w:p>
            <w:pPr>
              <w:spacing w:after="0"/>
              <w:rPr>
                <w:sz w:val="3"/>
                <w:szCs w:val="3"/>
                <w:color w:val="auto"/>
              </w:rPr>
            </w:pPr>
          </w:p>
        </w:tc>
        <w:tc>
          <w:tcPr>
            <w:tcW w:w="800" w:type="dxa"/>
            <w:vAlign w:val="bottom"/>
            <w:tcBorders>
              <w:bottom w:val="single" w:sz="8" w:color="DBDBDB"/>
              <w:right w:val="single" w:sz="8" w:color="CBCBCB"/>
            </w:tcBorders>
          </w:tcPr>
          <w:p>
            <w:pPr>
              <w:spacing w:after="0"/>
              <w:rPr>
                <w:sz w:val="3"/>
                <w:szCs w:val="3"/>
                <w:color w:val="auto"/>
              </w:rPr>
            </w:pPr>
          </w:p>
        </w:tc>
        <w:tc>
          <w:tcPr>
            <w:tcW w:w="2100" w:type="dxa"/>
            <w:vAlign w:val="bottom"/>
            <w:tcBorders>
              <w:bottom w:val="single" w:sz="8" w:color="DBDBD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Jeffrey S. Sylvester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$37,541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$39,714</w:t>
            </w:r>
          </w:p>
        </w:tc>
        <w:tc>
          <w:tcPr>
            <w:tcW w:w="920" w:type="dxa"/>
            <w:vAlign w:val="bottom"/>
            <w:tcBorders>
              <w:right w:val="single" w:sz="8" w:color="CBCBCB"/>
            </w:tcBorders>
          </w:tcPr>
          <w:p>
            <w:pPr>
              <w:jc w:val="center"/>
              <w:ind w:right="108"/>
              <w:spacing w:after="0"/>
              <w:rPr>
                <w:sz w:val="20"/>
                <w:szCs w:val="20"/>
                <w:color w:val="auto"/>
              </w:rPr>
            </w:pPr>
            <w:r>
              <w:rPr>
                <w:rFonts w:ascii="Times New Roman" w:cs="Times New Roman" w:eastAsia="Times New Roman" w:hAnsi="Times New Roman"/>
                <w:sz w:val="14"/>
                <w:szCs w:val="14"/>
                <w:color w:val="auto"/>
              </w:rPr>
              <w:t>$34,838</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3"/>
              </w:rPr>
              <w:t>n/a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40" w:type="dxa"/>
            <w:vAlign w:val="bottom"/>
            <w:tcBorders>
              <w:right w:val="single" w:sz="8" w:color="CBCBCB"/>
            </w:tcBorders>
          </w:tcPr>
          <w:p>
            <w:pPr>
              <w:jc w:val="center"/>
              <w:ind w:right="188"/>
              <w:spacing w:after="0"/>
              <w:rPr>
                <w:sz w:val="20"/>
                <w:szCs w:val="20"/>
                <w:color w:val="auto"/>
              </w:rPr>
            </w:pPr>
            <w:r>
              <w:rPr>
                <w:rFonts w:ascii="Times New Roman" w:cs="Times New Roman" w:eastAsia="Times New Roman" w:hAnsi="Times New Roman"/>
                <w:sz w:val="14"/>
                <w:szCs w:val="14"/>
                <w:color w:val="auto"/>
              </w:rPr>
              <w:t>n/a</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$2,129</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$5,073</w:t>
            </w:r>
          </w:p>
        </w:tc>
        <w:tc>
          <w:tcPr>
            <w:tcW w:w="800" w:type="dxa"/>
            <w:vAlign w:val="bottom"/>
            <w:tcBorders>
              <w:right w:val="single" w:sz="8" w:color="CBCBCB"/>
            </w:tcBorders>
          </w:tcPr>
          <w:p>
            <w:pPr>
              <w:jc w:val="center"/>
              <w:spacing w:after="0"/>
              <w:rPr>
                <w:sz w:val="20"/>
                <w:szCs w:val="20"/>
                <w:color w:val="auto"/>
              </w:rPr>
            </w:pPr>
            <w:r>
              <w:rPr>
                <w:rFonts w:ascii="Times New Roman" w:cs="Times New Roman" w:eastAsia="Times New Roman" w:hAnsi="Times New Roman"/>
                <w:sz w:val="14"/>
                <w:szCs w:val="14"/>
                <w:color w:val="auto"/>
              </w:rPr>
              <w:t>$6,981</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$29,281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780" w:type="dxa"/>
            <w:vAlign w:val="bottom"/>
            <w:tcBorders>
              <w:bottom w:val="single" w:sz="8" w:color="DBDBDB"/>
            </w:tcBorders>
          </w:tcPr>
          <w:p>
            <w:pPr>
              <w:spacing w:after="0"/>
              <w:rPr>
                <w:sz w:val="3"/>
                <w:szCs w:val="3"/>
                <w:color w:val="auto"/>
              </w:rPr>
            </w:pPr>
          </w:p>
        </w:tc>
        <w:tc>
          <w:tcPr>
            <w:tcW w:w="920" w:type="dxa"/>
            <w:vAlign w:val="bottom"/>
            <w:tcBorders>
              <w:bottom w:val="single" w:sz="8" w:color="DBDBDB"/>
              <w:right w:val="single" w:sz="8" w:color="CBCBCB"/>
            </w:tcBorders>
          </w:tcPr>
          <w:p>
            <w:pPr>
              <w:spacing w:after="0"/>
              <w:rPr>
                <w:sz w:val="3"/>
                <w:szCs w:val="3"/>
                <w:color w:val="auto"/>
              </w:rPr>
            </w:pPr>
          </w:p>
        </w:tc>
        <w:tc>
          <w:tcPr>
            <w:tcW w:w="6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840" w:type="dxa"/>
            <w:vAlign w:val="bottom"/>
            <w:tcBorders>
              <w:bottom w:val="single" w:sz="8" w:color="DBDBDB"/>
              <w:right w:val="single" w:sz="8" w:color="CBCBC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720" w:type="dxa"/>
            <w:vAlign w:val="bottom"/>
            <w:tcBorders>
              <w:bottom w:val="single" w:sz="8" w:color="DBDBDB"/>
            </w:tcBorders>
          </w:tcPr>
          <w:p>
            <w:pPr>
              <w:spacing w:after="0"/>
              <w:rPr>
                <w:sz w:val="3"/>
                <w:szCs w:val="3"/>
                <w:color w:val="auto"/>
              </w:rPr>
            </w:pPr>
          </w:p>
        </w:tc>
        <w:tc>
          <w:tcPr>
            <w:tcW w:w="800" w:type="dxa"/>
            <w:vAlign w:val="bottom"/>
            <w:tcBorders>
              <w:bottom w:val="single" w:sz="8" w:color="DBDBDB"/>
              <w:right w:val="single" w:sz="8" w:color="CBCBCB"/>
            </w:tcBorders>
          </w:tcPr>
          <w:p>
            <w:pPr>
              <w:spacing w:after="0"/>
              <w:rPr>
                <w:sz w:val="3"/>
                <w:szCs w:val="3"/>
                <w:color w:val="auto"/>
              </w:rPr>
            </w:pPr>
          </w:p>
        </w:tc>
        <w:tc>
          <w:tcPr>
            <w:tcW w:w="2100" w:type="dxa"/>
            <w:vAlign w:val="bottom"/>
            <w:tcBorders>
              <w:bottom w:val="single" w:sz="8" w:color="DBDBD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Kevin J. Webber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$33,988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$40,005</w:t>
            </w:r>
          </w:p>
        </w:tc>
        <w:tc>
          <w:tcPr>
            <w:tcW w:w="920" w:type="dxa"/>
            <w:vAlign w:val="bottom"/>
            <w:tcBorders>
              <w:right w:val="single" w:sz="8" w:color="CBCBCB"/>
            </w:tcBorders>
          </w:tcPr>
          <w:p>
            <w:pPr>
              <w:jc w:val="center"/>
              <w:ind w:right="108"/>
              <w:spacing w:after="0"/>
              <w:rPr>
                <w:sz w:val="20"/>
                <w:szCs w:val="20"/>
                <w:color w:val="auto"/>
              </w:rPr>
            </w:pPr>
            <w:r>
              <w:rPr>
                <w:rFonts w:ascii="Times New Roman" w:cs="Times New Roman" w:eastAsia="Times New Roman" w:hAnsi="Times New Roman"/>
                <w:sz w:val="14"/>
                <w:szCs w:val="14"/>
                <w:color w:val="auto"/>
              </w:rPr>
              <w:t>$37,003</w:t>
            </w:r>
          </w:p>
        </w:tc>
        <w:tc>
          <w:tcPr>
            <w:tcW w:w="6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$480</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$480</w:t>
            </w:r>
          </w:p>
        </w:tc>
        <w:tc>
          <w:tcPr>
            <w:tcW w:w="840" w:type="dxa"/>
            <w:vAlign w:val="bottom"/>
            <w:tcBorders>
              <w:right w:val="single" w:sz="8" w:color="CBCBCB"/>
            </w:tcBorders>
          </w:tcPr>
          <w:p>
            <w:pPr>
              <w:jc w:val="center"/>
              <w:ind w:right="188"/>
              <w:spacing w:after="0"/>
              <w:rPr>
                <w:sz w:val="20"/>
                <w:szCs w:val="20"/>
                <w:color w:val="auto"/>
              </w:rPr>
            </w:pPr>
            <w:r>
              <w:rPr>
                <w:rFonts w:ascii="Times New Roman" w:cs="Times New Roman" w:eastAsia="Times New Roman" w:hAnsi="Times New Roman"/>
                <w:sz w:val="14"/>
                <w:szCs w:val="14"/>
                <w:color w:val="auto"/>
              </w:rPr>
              <w:t>$480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$825</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$527</w:t>
            </w:r>
          </w:p>
        </w:tc>
        <w:tc>
          <w:tcPr>
            <w:tcW w:w="800" w:type="dxa"/>
            <w:vAlign w:val="bottom"/>
            <w:tcBorders>
              <w:right w:val="single" w:sz="8" w:color="CBCBCB"/>
            </w:tcBorders>
          </w:tcPr>
          <w:p>
            <w:pPr>
              <w:jc w:val="center"/>
              <w:spacing w:after="0"/>
              <w:rPr>
                <w:sz w:val="20"/>
                <w:szCs w:val="20"/>
                <w:color w:val="auto"/>
              </w:rPr>
            </w:pPr>
            <w:r>
              <w:rPr>
                <w:rFonts w:ascii="Times New Roman" w:cs="Times New Roman" w:eastAsia="Times New Roman" w:hAnsi="Times New Roman"/>
                <w:sz w:val="14"/>
                <w:szCs w:val="14"/>
                <w:color w:val="auto"/>
              </w:rPr>
              <w:t>$1,454</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Borders>
              <w:bottom w:val="single" w:sz="8" w:color="DBDBDB"/>
            </w:tcBorders>
          </w:tcPr>
          <w:p>
            <w:pPr>
              <w:spacing w:after="0"/>
              <w:rPr>
                <w:sz w:val="3"/>
                <w:szCs w:val="3"/>
                <w:color w:val="auto"/>
              </w:rPr>
            </w:pPr>
          </w:p>
        </w:tc>
        <w:tc>
          <w:tcPr>
            <w:tcW w:w="740" w:type="dxa"/>
            <w:vAlign w:val="bottom"/>
            <w:tcBorders>
              <w:bottom w:val="single" w:sz="8" w:color="DBDBDB"/>
            </w:tcBorders>
          </w:tcPr>
          <w:p>
            <w:pPr>
              <w:spacing w:after="0"/>
              <w:rPr>
                <w:sz w:val="3"/>
                <w:szCs w:val="3"/>
                <w:color w:val="auto"/>
              </w:rPr>
            </w:pPr>
          </w:p>
        </w:tc>
        <w:tc>
          <w:tcPr>
            <w:tcW w:w="780" w:type="dxa"/>
            <w:vAlign w:val="bottom"/>
            <w:tcBorders>
              <w:bottom w:val="single" w:sz="8" w:color="DBDBDB"/>
            </w:tcBorders>
          </w:tcPr>
          <w:p>
            <w:pPr>
              <w:spacing w:after="0"/>
              <w:rPr>
                <w:sz w:val="3"/>
                <w:szCs w:val="3"/>
                <w:color w:val="auto"/>
              </w:rPr>
            </w:pPr>
          </w:p>
        </w:tc>
        <w:tc>
          <w:tcPr>
            <w:tcW w:w="920" w:type="dxa"/>
            <w:vAlign w:val="bottom"/>
            <w:tcBorders>
              <w:bottom w:val="single" w:sz="8" w:color="DBDBDB"/>
              <w:right w:val="single" w:sz="8" w:color="CBCBCB"/>
            </w:tcBorders>
          </w:tcPr>
          <w:p>
            <w:pPr>
              <w:spacing w:after="0"/>
              <w:rPr>
                <w:sz w:val="3"/>
                <w:szCs w:val="3"/>
                <w:color w:val="auto"/>
              </w:rPr>
            </w:pPr>
          </w:p>
        </w:tc>
        <w:tc>
          <w:tcPr>
            <w:tcW w:w="640" w:type="dxa"/>
            <w:vAlign w:val="bottom"/>
            <w:tcBorders>
              <w:bottom w:val="single" w:sz="8" w:color="DBDBDB"/>
            </w:tcBorders>
          </w:tcPr>
          <w:p>
            <w:pPr>
              <w:spacing w:after="0"/>
              <w:rPr>
                <w:sz w:val="3"/>
                <w:szCs w:val="3"/>
                <w:color w:val="auto"/>
              </w:rPr>
            </w:pPr>
          </w:p>
        </w:tc>
        <w:tc>
          <w:tcPr>
            <w:tcW w:w="900" w:type="dxa"/>
            <w:vAlign w:val="bottom"/>
            <w:tcBorders>
              <w:bottom w:val="single" w:sz="8" w:color="DBDBDB"/>
            </w:tcBorders>
          </w:tcPr>
          <w:p>
            <w:pPr>
              <w:spacing w:after="0"/>
              <w:rPr>
                <w:sz w:val="3"/>
                <w:szCs w:val="3"/>
                <w:color w:val="auto"/>
              </w:rPr>
            </w:pPr>
          </w:p>
        </w:tc>
        <w:tc>
          <w:tcPr>
            <w:tcW w:w="840" w:type="dxa"/>
            <w:vAlign w:val="bottom"/>
            <w:tcBorders>
              <w:bottom w:val="single" w:sz="8" w:color="DBDBDB"/>
              <w:right w:val="single" w:sz="8" w:color="CBCBCB"/>
            </w:tcBorders>
          </w:tcPr>
          <w:p>
            <w:pPr>
              <w:spacing w:after="0"/>
              <w:rPr>
                <w:sz w:val="3"/>
                <w:szCs w:val="3"/>
                <w:color w:val="auto"/>
              </w:rPr>
            </w:pPr>
          </w:p>
        </w:tc>
        <w:tc>
          <w:tcPr>
            <w:tcW w:w="760" w:type="dxa"/>
            <w:vAlign w:val="bottom"/>
            <w:tcBorders>
              <w:bottom w:val="single" w:sz="8" w:color="DBDBDB"/>
            </w:tcBorders>
          </w:tcPr>
          <w:p>
            <w:pPr>
              <w:spacing w:after="0"/>
              <w:rPr>
                <w:sz w:val="3"/>
                <w:szCs w:val="3"/>
                <w:color w:val="auto"/>
              </w:rPr>
            </w:pPr>
          </w:p>
        </w:tc>
        <w:tc>
          <w:tcPr>
            <w:tcW w:w="720" w:type="dxa"/>
            <w:vAlign w:val="bottom"/>
            <w:tcBorders>
              <w:bottom w:val="single" w:sz="8" w:color="DBDBDB"/>
            </w:tcBorders>
          </w:tcPr>
          <w:p>
            <w:pPr>
              <w:spacing w:after="0"/>
              <w:rPr>
                <w:sz w:val="3"/>
                <w:szCs w:val="3"/>
                <w:color w:val="auto"/>
              </w:rPr>
            </w:pPr>
          </w:p>
        </w:tc>
        <w:tc>
          <w:tcPr>
            <w:tcW w:w="800" w:type="dxa"/>
            <w:vAlign w:val="bottom"/>
            <w:tcBorders>
              <w:bottom w:val="single" w:sz="8" w:color="DBDBDB"/>
              <w:right w:val="single" w:sz="8" w:color="CBCBCB"/>
            </w:tcBorders>
          </w:tcPr>
          <w:p>
            <w:pPr>
              <w:spacing w:after="0"/>
              <w:rPr>
                <w:sz w:val="3"/>
                <w:szCs w:val="3"/>
                <w:color w:val="auto"/>
              </w:rPr>
            </w:pPr>
          </w:p>
        </w:tc>
        <w:tc>
          <w:tcPr>
            <w:tcW w:w="2100" w:type="dxa"/>
            <w:vAlign w:val="bottom"/>
            <w:tcBorders>
              <w:bottom w:val="single" w:sz="8" w:color="DBDBDB"/>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-942340</wp:posOffset>
            </wp:positionV>
            <wp:extent cx="825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1" w:name="page42"/>
    <w:bookmarkEnd w:id="41"/>
    <w:p>
      <w:pPr>
        <w:jc w:val="both"/>
        <w:ind w:left="80" w:right="20"/>
        <w:spacing w:after="0" w:line="254" w:lineRule="auto"/>
        <w:rPr>
          <w:sz w:val="20"/>
          <w:szCs w:val="20"/>
          <w:color w:val="auto"/>
        </w:rPr>
      </w:pPr>
      <w:r>
        <w:rPr>
          <w:rFonts w:ascii="Times New Roman" w:cs="Times New Roman" w:eastAsia="Times New Roman" w:hAnsi="Times New Roman"/>
          <w:sz w:val="14"/>
          <w:szCs w:val="14"/>
          <w:i w:val="1"/>
          <w:iCs w:val="1"/>
          <w:color w:val="auto"/>
        </w:rPr>
        <w:t>A company-owned vehicle is available to NEOs during their service with the Company. The vehicle is available for personal use and is imputed income on their Form W-2 filed with the IRS. The cash dividend amounts paid to the NEOs in 2026 for the 2023-2025 performance period are reflected in the 2023 row in the Summary Compensation Table, the year the share awards (on</w:t>
      </w:r>
    </w:p>
    <w:p>
      <w:pPr>
        <w:spacing w:after="0" w:line="1" w:lineRule="exact"/>
        <w:rPr>
          <w:sz w:val="20"/>
          <w:szCs w:val="20"/>
          <w:color w:val="auto"/>
        </w:rPr>
      </w:pPr>
    </w:p>
    <w:p>
      <w:pPr>
        <w:jc w:val="both"/>
        <w:ind w:left="80" w:right="20"/>
        <w:spacing w:after="0" w:line="231" w:lineRule="auto"/>
        <w:rPr>
          <w:sz w:val="20"/>
          <w:szCs w:val="20"/>
          <w:color w:val="auto"/>
        </w:rPr>
      </w:pPr>
      <w:r>
        <w:rPr>
          <w:rFonts w:ascii="Times New Roman" w:cs="Times New Roman" w:eastAsia="Times New Roman" w:hAnsi="Times New Roman"/>
          <w:sz w:val="14"/>
          <w:szCs w:val="14"/>
          <w:i w:val="1"/>
          <w:iCs w:val="1"/>
          <w:color w:val="auto"/>
        </w:rPr>
        <w:t>which the dividends were based) were granted by the Compensation Committee. Dividends were accrued in the form of dividend equivalents on the same basis as dividends declared by the Board each calendar quarter during the applicable years and paid on the Company's common stock. The actual cash dividend received by each NEO was determined based upon the number</w:t>
      </w:r>
    </w:p>
    <w:p>
      <w:pPr>
        <w:spacing w:after="0" w:line="1" w:lineRule="exact"/>
        <w:rPr>
          <w:sz w:val="20"/>
          <w:szCs w:val="20"/>
          <w:color w:val="auto"/>
        </w:rPr>
      </w:pPr>
    </w:p>
    <w:p>
      <w:pPr>
        <w:jc w:val="both"/>
        <w:ind w:left="80" w:right="20"/>
        <w:spacing w:after="0" w:line="249" w:lineRule="auto"/>
        <w:rPr>
          <w:sz w:val="20"/>
          <w:szCs w:val="20"/>
          <w:color w:val="auto"/>
        </w:rPr>
      </w:pPr>
      <w:r>
        <w:rPr>
          <w:rFonts w:ascii="Times New Roman" w:cs="Times New Roman" w:eastAsia="Times New Roman" w:hAnsi="Times New Roman"/>
          <w:sz w:val="14"/>
          <w:szCs w:val="14"/>
          <w:i w:val="1"/>
          <w:iCs w:val="1"/>
          <w:color w:val="auto"/>
        </w:rPr>
        <w:t>of shares of common stock earned and issued to the executive for the performance period. NEOs participate in the same benefits that are available to other employees of the Company, including benefits under our health and welfare plans, and short-term and long-term disability coverage. NEOs have the ability to purchase propane at the same discounted rate that we offer to our employees, and participate in financial planning services paid for by the Company and made available to all of our senior officers.</w:t>
      </w:r>
    </w:p>
    <w:p>
      <w:pPr>
        <w:spacing w:after="0" w:line="61" w:lineRule="exact"/>
        <w:rPr>
          <w:sz w:val="20"/>
          <w:szCs w:val="20"/>
          <w:color w:val="auto"/>
        </w:rPr>
      </w:pPr>
    </w:p>
    <w:p>
      <w:pPr>
        <w:jc w:val="both"/>
        <w:ind w:left="80" w:right="20" w:hanging="72"/>
        <w:spacing w:after="0" w:line="245" w:lineRule="auto"/>
        <w:tabs>
          <w:tab w:leader="none" w:pos="87" w:val="left"/>
        </w:tabs>
        <w:numPr>
          <w:ilvl w:val="0"/>
          <w:numId w:val="4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There is no compensation to be included in the Change in Pension Value and Non-Qualified Deferred Compensation Earnings column. In 2021, we formally terminated the Company's defined benefit Pension Plan which was frozen as of January 1, 2005. The Company maintains an unfunded supplemental executive retirement pension plan sponsored by the Company. The Company's defined benefit Pension SERP plan was frozen as of January 1, 2005. None of the NEOs participate in the Company’s Pension SERP Plan. Dividends on deferred stock units (which are settled on a one-for-one basis in shares of common stock) are the same as dividends paid on the Company’s outstanding shares of common stock. For 2025, 2024 and 2023, compensation deferred under the NQDC Plan (or any predecessor plan) earned the same returns as funds available for the Company’s Retirement Savings Plan. We considered that investment options under our NQDC Plan (or any predecessor plan) are the same choices available to all employees under the Company's Retirement Savings Plan. As a result, the NEOs do not receive preferential earnings on their investments.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reflects, for each NEO, the range of payouts for cash incentive awards established by the Compensation Committee, after consideration and approval by the Board, on February 26, 2025 relating to the 2025 performance period, and the number of equity incentive awards established by the Compensation Committee, after consideration and approval by the Board, on February 26, 2025 for the 2025-2027 performance period. For each NEO, the Compensation Committee established a target equity award with a dollar value (as a percentage of base salary) to be paid in shares of our common stock, if earned, based on the grant date fair value of the common stock. The threshold (minimum amount payable for a certain level of performance), target (amount payable if the targets are reached), and maximum (maximum payout possible) award levels are provided for each award. Additional information on these awards can be found under the </w:t>
      </w:r>
      <w:r>
        <w:rPr>
          <w:rFonts w:ascii="Times New Roman" w:cs="Times New Roman" w:eastAsia="Times New Roman" w:hAnsi="Times New Roman"/>
          <w:sz w:val="18"/>
          <w:szCs w:val="18"/>
          <w:i w:val="1"/>
          <w:iCs w:val="1"/>
          <w:color w:val="auto"/>
        </w:rPr>
        <w:t>Key Compensation Decisions</w:t>
      </w:r>
      <w:r>
        <w:rPr>
          <w:rFonts w:ascii="Times New Roman" w:cs="Times New Roman" w:eastAsia="Times New Roman" w:hAnsi="Times New Roman"/>
          <w:sz w:val="18"/>
          <w:szCs w:val="18"/>
          <w:color w:val="auto"/>
        </w:rPr>
        <w:t xml:space="preserve"> section in this Proxy Statement.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GRANTS OF PLAN-BASED AWARDS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2025 Cash Incentive Plan</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2025-2027 Equity Incentive Plan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060" w:type="dxa"/>
            <w:vAlign w:val="bottom"/>
            <w:tcBorders>
              <w:bottom w:val="single" w:sz="8" w:color="DDDDDD"/>
            </w:tcBorders>
          </w:tcPr>
          <w:p>
            <w:pPr>
              <w:spacing w:after="0"/>
              <w:rPr>
                <w:sz w:val="2"/>
                <w:szCs w:val="2"/>
                <w:color w:val="auto"/>
              </w:rPr>
            </w:pPr>
          </w:p>
        </w:tc>
        <w:tc>
          <w:tcPr>
            <w:tcW w:w="140" w:type="dxa"/>
            <w:vAlign w:val="bottom"/>
            <w:tcBorders>
              <w:bottom w:val="single" w:sz="8" w:color="DDDDDD"/>
            </w:tcBorders>
          </w:tcPr>
          <w:p>
            <w:pPr>
              <w:spacing w:after="0"/>
              <w:rPr>
                <w:sz w:val="2"/>
                <w:szCs w:val="2"/>
                <w:color w:val="auto"/>
              </w:rPr>
            </w:pPr>
          </w:p>
        </w:tc>
        <w:tc>
          <w:tcPr>
            <w:tcW w:w="3240" w:type="dxa"/>
            <w:vAlign w:val="bottom"/>
            <w:tcBorders>
              <w:bottom w:val="single" w:sz="8" w:color="DDDDDD"/>
            </w:tcBorders>
            <w:gridSpan w:val="5"/>
          </w:tcPr>
          <w:p>
            <w:pPr>
              <w:spacing w:after="0"/>
              <w:rPr>
                <w:sz w:val="2"/>
                <w:szCs w:val="2"/>
                <w:color w:val="auto"/>
              </w:rPr>
            </w:pPr>
          </w:p>
        </w:tc>
        <w:tc>
          <w:tcPr>
            <w:tcW w:w="1080" w:type="dxa"/>
            <w:vAlign w:val="bottom"/>
            <w:tcBorders>
              <w:bottom w:val="single" w:sz="8" w:color="DDDDDD"/>
            </w:tcBorders>
          </w:tcPr>
          <w:p>
            <w:pPr>
              <w:spacing w:after="0"/>
              <w:rPr>
                <w:sz w:val="2"/>
                <w:szCs w:val="2"/>
                <w:color w:val="auto"/>
              </w:rPr>
            </w:pPr>
          </w:p>
        </w:tc>
        <w:tc>
          <w:tcPr>
            <w:tcW w:w="2700" w:type="dxa"/>
            <w:vAlign w:val="bottom"/>
            <w:tcBorders>
              <w:bottom w:val="single" w:sz="8" w:color="DDDDDD"/>
            </w:tcBorders>
            <w:gridSpan w:val="3"/>
          </w:tcPr>
          <w:p>
            <w:pPr>
              <w:spacing w:after="0"/>
              <w:rPr>
                <w:sz w:val="2"/>
                <w:szCs w:val="2"/>
                <w:color w:val="auto"/>
              </w:rPr>
            </w:pPr>
          </w:p>
        </w:tc>
        <w:tc>
          <w:tcPr>
            <w:tcW w:w="220" w:type="dxa"/>
            <w:vAlign w:val="bottom"/>
            <w:tcBorders>
              <w:bottom w:val="single" w:sz="8" w:color="DDDDDD"/>
            </w:tcBorders>
          </w:tcPr>
          <w:p>
            <w:pPr>
              <w:spacing w:after="0"/>
              <w:rPr>
                <w:sz w:val="2"/>
                <w:szCs w:val="2"/>
                <w:color w:val="auto"/>
              </w:rPr>
            </w:pPr>
          </w:p>
        </w:tc>
        <w:tc>
          <w:tcPr>
            <w:tcW w:w="9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40" w:type="dxa"/>
            <w:vAlign w:val="bottom"/>
            <w:tcBorders>
              <w:right w:val="single" w:sz="8" w:color="DBDBDB"/>
            </w:tcBorders>
            <w:gridSpan w:val="5"/>
          </w:tcPr>
          <w:p>
            <w:pPr>
              <w:jc w:val="right"/>
              <w:ind w:right="554"/>
              <w:spacing w:after="0"/>
              <w:rPr>
                <w:sz w:val="20"/>
                <w:szCs w:val="20"/>
                <w:color w:val="auto"/>
              </w:rPr>
            </w:pPr>
            <w:r>
              <w:rPr>
                <w:rFonts w:ascii="Times New Roman" w:cs="Times New Roman" w:eastAsia="Times New Roman" w:hAnsi="Times New Roman"/>
                <w:sz w:val="15"/>
                <w:szCs w:val="15"/>
                <w:b w:val="1"/>
                <w:bCs w:val="1"/>
                <w:color w:val="auto"/>
              </w:rPr>
              <w:t>Estimated Future Payouts Under</w:t>
            </w:r>
          </w:p>
        </w:tc>
        <w:tc>
          <w:tcPr>
            <w:tcW w:w="1080" w:type="dxa"/>
            <w:vAlign w:val="bottom"/>
          </w:tcPr>
          <w:p>
            <w:pPr>
              <w:spacing w:after="0"/>
              <w:rPr>
                <w:sz w:val="19"/>
                <w:szCs w:val="19"/>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Estimated Future Payouts Under Equity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Borders>
              <w:right w:val="single" w:sz="8" w:color="DBDBDB"/>
            </w:tcBorders>
            <w:gridSpan w:val="5"/>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Non-Equity Incentive Plan Awards</w:t>
            </w:r>
          </w:p>
        </w:tc>
        <w:tc>
          <w:tcPr>
            <w:tcW w:w="1080" w:type="dxa"/>
            <w:vAlign w:val="bottom"/>
          </w:tcPr>
          <w:p>
            <w:pPr>
              <w:spacing w:after="0"/>
              <w:rPr>
                <w:sz w:val="17"/>
                <w:szCs w:val="17"/>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Incentive Plan Awards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DDDDDD"/>
            </w:tcBorders>
          </w:tcPr>
          <w:p>
            <w:pPr>
              <w:spacing w:after="0" w:line="20" w:lineRule="exact"/>
              <w:rPr>
                <w:sz w:val="1"/>
                <w:szCs w:val="1"/>
                <w:color w:val="auto"/>
              </w:rPr>
            </w:pPr>
          </w:p>
        </w:tc>
        <w:tc>
          <w:tcPr>
            <w:tcW w:w="88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880" w:type="dxa"/>
            <w:vAlign w:val="bottom"/>
            <w:tcBorders>
              <w:bottom w:val="single" w:sz="8" w:color="DDDDDD"/>
            </w:tcBorders>
          </w:tcPr>
          <w:p>
            <w:pPr>
              <w:spacing w:after="0" w:line="20" w:lineRule="exact"/>
              <w:rPr>
                <w:sz w:val="1"/>
                <w:szCs w:val="1"/>
                <w:color w:val="auto"/>
              </w:rPr>
            </w:pPr>
          </w:p>
        </w:tc>
        <w:tc>
          <w:tcPr>
            <w:tcW w:w="200" w:type="dxa"/>
            <w:vAlign w:val="bottom"/>
            <w:tcBorders>
              <w:bottom w:val="single" w:sz="8" w:color="DDDDDD"/>
            </w:tcBorders>
          </w:tcPr>
          <w:p>
            <w:pPr>
              <w:spacing w:after="0" w:line="20" w:lineRule="exact"/>
              <w:rPr>
                <w:sz w:val="1"/>
                <w:szCs w:val="1"/>
                <w:color w:val="auto"/>
              </w:rPr>
            </w:pPr>
          </w:p>
        </w:tc>
        <w:tc>
          <w:tcPr>
            <w:tcW w:w="1040" w:type="dxa"/>
            <w:vAlign w:val="bottom"/>
            <w:tcBorders>
              <w:bottom w:val="single" w:sz="8" w:color="DDDDDD"/>
              <w:right w:val="single" w:sz="8" w:color="DBDBDB"/>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bottom w:val="single" w:sz="8" w:color="DDDDDD"/>
            </w:tcBorders>
          </w:tcPr>
          <w:p>
            <w:pPr>
              <w:spacing w:after="0" w:line="20" w:lineRule="exact"/>
              <w:rPr>
                <w:sz w:val="1"/>
                <w:szCs w:val="1"/>
                <w:color w:val="auto"/>
              </w:rPr>
            </w:pPr>
          </w:p>
        </w:tc>
        <w:tc>
          <w:tcPr>
            <w:tcW w:w="820" w:type="dxa"/>
            <w:vAlign w:val="bottom"/>
            <w:tcBorders>
              <w:bottom w:val="single" w:sz="8" w:color="DDDDDD"/>
            </w:tcBorders>
          </w:tcPr>
          <w:p>
            <w:pPr>
              <w:spacing w:after="0" w:line="20" w:lineRule="exact"/>
              <w:rPr>
                <w:sz w:val="1"/>
                <w:szCs w:val="1"/>
                <w:color w:val="auto"/>
              </w:rPr>
            </w:pPr>
          </w:p>
        </w:tc>
        <w:tc>
          <w:tcPr>
            <w:tcW w:w="940" w:type="dxa"/>
            <w:vAlign w:val="bottom"/>
            <w:tcBorders>
              <w:bottom w:val="single" w:sz="8" w:color="DDDDDD"/>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229"/>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NEO</w:t>
            </w:r>
          </w:p>
        </w:tc>
        <w:tc>
          <w:tcPr>
            <w:tcW w:w="1060" w:type="dxa"/>
            <w:vAlign w:val="bottom"/>
            <w:vMerge w:val="restart"/>
          </w:tcPr>
          <w:p>
            <w:pPr>
              <w:jc w:val="right"/>
              <w:ind w:right="152"/>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140" w:type="dxa"/>
            <w:vAlign w:val="bottom"/>
          </w:tcPr>
          <w:p>
            <w:pPr>
              <w:spacing w:after="0"/>
              <w:rPr>
                <w:sz w:val="19"/>
                <w:szCs w:val="19"/>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5"/>
                <w:szCs w:val="15"/>
                <w:color w:val="auto"/>
              </w:rPr>
              <w:t>Threshold</w:t>
            </w:r>
          </w:p>
        </w:tc>
        <w:tc>
          <w:tcPr>
            <w:tcW w:w="240" w:type="dxa"/>
            <w:vAlign w:val="bottom"/>
          </w:tcPr>
          <w:p>
            <w:pPr>
              <w:spacing w:after="0"/>
              <w:rPr>
                <w:sz w:val="19"/>
                <w:szCs w:val="19"/>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5"/>
                <w:szCs w:val="15"/>
                <w:color w:val="auto"/>
                <w:w w:val="96"/>
              </w:rPr>
              <w:t>Target</w:t>
            </w:r>
          </w:p>
        </w:tc>
        <w:tc>
          <w:tcPr>
            <w:tcW w:w="200" w:type="dxa"/>
            <w:vAlign w:val="bottom"/>
          </w:tcPr>
          <w:p>
            <w:pPr>
              <w:spacing w:after="0"/>
              <w:rPr>
                <w:sz w:val="19"/>
                <w:szCs w:val="19"/>
                <w:color w:val="auto"/>
              </w:rPr>
            </w:pPr>
          </w:p>
        </w:tc>
        <w:tc>
          <w:tcPr>
            <w:tcW w:w="1040" w:type="dxa"/>
            <w:vAlign w:val="bottom"/>
            <w:tcBorders>
              <w:right w:val="single" w:sz="8" w:color="DBDBDB"/>
            </w:tcBorders>
          </w:tcPr>
          <w:p>
            <w:pPr>
              <w:jc w:val="right"/>
              <w:ind w:right="214"/>
              <w:spacing w:after="0"/>
              <w:rPr>
                <w:sz w:val="20"/>
                <w:szCs w:val="20"/>
                <w:color w:val="auto"/>
              </w:rPr>
            </w:pPr>
            <w:r>
              <w:rPr>
                <w:rFonts w:ascii="Times New Roman" w:cs="Times New Roman" w:eastAsia="Times New Roman" w:hAnsi="Times New Roman"/>
                <w:sz w:val="15"/>
                <w:szCs w:val="15"/>
                <w:color w:val="auto"/>
              </w:rPr>
              <w:t>Maximum</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Threshold</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Target</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Maximum</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00" w:type="dxa"/>
            <w:vAlign w:val="bottom"/>
            <w:tcBorders>
              <w:bottom w:val="single" w:sz="8" w:color="ADADAD"/>
            </w:tcBorders>
            <w:vMerge w:val="continue"/>
          </w:tcPr>
          <w:p>
            <w:pPr>
              <w:spacing w:after="0"/>
              <w:rPr>
                <w:sz w:val="19"/>
                <w:szCs w:val="19"/>
                <w:color w:val="auto"/>
              </w:rPr>
            </w:pPr>
          </w:p>
        </w:tc>
        <w:tc>
          <w:tcPr>
            <w:tcW w:w="1060" w:type="dxa"/>
            <w:vAlign w:val="bottom"/>
            <w:tcBorders>
              <w:bottom w:val="single" w:sz="8" w:color="ADADAD"/>
            </w:tcBorders>
            <w:vMerge w:val="continue"/>
          </w:tcPr>
          <w:p>
            <w:pPr>
              <w:spacing w:after="0"/>
              <w:rPr>
                <w:sz w:val="19"/>
                <w:szCs w:val="19"/>
                <w:color w:val="auto"/>
              </w:rPr>
            </w:pPr>
          </w:p>
        </w:tc>
        <w:tc>
          <w:tcPr>
            <w:tcW w:w="140" w:type="dxa"/>
            <w:vAlign w:val="bottom"/>
            <w:tcBorders>
              <w:bottom w:val="single" w:sz="8" w:color="ADADAD"/>
            </w:tcBorders>
          </w:tcPr>
          <w:p>
            <w:pPr>
              <w:spacing w:after="0"/>
              <w:rPr>
                <w:sz w:val="19"/>
                <w:szCs w:val="19"/>
                <w:color w:val="auto"/>
              </w:rPr>
            </w:pPr>
          </w:p>
        </w:tc>
        <w:tc>
          <w:tcPr>
            <w:tcW w:w="880" w:type="dxa"/>
            <w:vAlign w:val="bottom"/>
            <w:tcBorders>
              <w:bottom w:val="single" w:sz="8" w:color="ADADAD"/>
            </w:tcBorders>
          </w:tcPr>
          <w:p>
            <w:pPr>
              <w:jc w:val="right"/>
              <w:ind w:right="255"/>
              <w:spacing w:after="0"/>
              <w:rPr>
                <w:sz w:val="20"/>
                <w:szCs w:val="20"/>
                <w:color w:val="auto"/>
              </w:rPr>
            </w:pPr>
            <w:r>
              <w:rPr>
                <w:rFonts w:ascii="Times New Roman" w:cs="Times New Roman" w:eastAsia="Times New Roman" w:hAnsi="Times New Roman"/>
                <w:sz w:val="15"/>
                <w:szCs w:val="15"/>
                <w:color w:val="auto"/>
              </w:rPr>
              <w:t>50%</w:t>
            </w:r>
          </w:p>
        </w:tc>
        <w:tc>
          <w:tcPr>
            <w:tcW w:w="240" w:type="dxa"/>
            <w:vAlign w:val="bottom"/>
            <w:tcBorders>
              <w:bottom w:val="single" w:sz="8" w:color="ADADAD"/>
            </w:tcBorders>
          </w:tcPr>
          <w:p>
            <w:pPr>
              <w:spacing w:after="0"/>
              <w:rPr>
                <w:sz w:val="19"/>
                <w:szCs w:val="19"/>
                <w:color w:val="auto"/>
              </w:rPr>
            </w:pPr>
          </w:p>
        </w:tc>
        <w:tc>
          <w:tcPr>
            <w:tcW w:w="880" w:type="dxa"/>
            <w:vAlign w:val="bottom"/>
            <w:tcBorders>
              <w:bottom w:val="single" w:sz="8" w:color="ADADAD"/>
            </w:tcBorders>
          </w:tcPr>
          <w:p>
            <w:pPr>
              <w:jc w:val="center"/>
              <w:ind w:right="114"/>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Borders>
              <w:bottom w:val="single" w:sz="8" w:color="ADADAD"/>
            </w:tcBorders>
          </w:tcPr>
          <w:p>
            <w:pPr>
              <w:spacing w:after="0"/>
              <w:rPr>
                <w:sz w:val="19"/>
                <w:szCs w:val="19"/>
                <w:color w:val="auto"/>
              </w:rPr>
            </w:pPr>
          </w:p>
        </w:tc>
        <w:tc>
          <w:tcPr>
            <w:tcW w:w="1040" w:type="dxa"/>
            <w:vAlign w:val="bottom"/>
            <w:tcBorders>
              <w:bottom w:val="single" w:sz="8" w:color="ADADAD"/>
              <w:right w:val="single" w:sz="8" w:color="DBDBDB"/>
            </w:tcBorders>
          </w:tcPr>
          <w:p>
            <w:pPr>
              <w:jc w:val="right"/>
              <w:ind w:right="354"/>
              <w:spacing w:after="0"/>
              <w:rPr>
                <w:sz w:val="20"/>
                <w:szCs w:val="20"/>
                <w:color w:val="auto"/>
              </w:rPr>
            </w:pPr>
            <w:r>
              <w:rPr>
                <w:rFonts w:ascii="Times New Roman" w:cs="Times New Roman" w:eastAsia="Times New Roman" w:hAnsi="Times New Roman"/>
                <w:sz w:val="15"/>
                <w:szCs w:val="15"/>
                <w:color w:val="auto"/>
              </w:rPr>
              <w:t>200%</w:t>
            </w:r>
          </w:p>
        </w:tc>
        <w:tc>
          <w:tcPr>
            <w:tcW w:w="1080" w:type="dxa"/>
            <w:vAlign w:val="bottom"/>
            <w:tcBorders>
              <w:bottom w:val="single" w:sz="8" w:color="ADADAD"/>
            </w:tcBorders>
            <w:vMerge w:val="continue"/>
          </w:tcPr>
          <w:p>
            <w:pPr>
              <w:spacing w:after="0"/>
              <w:rPr>
                <w:sz w:val="19"/>
                <w:szCs w:val="19"/>
                <w:color w:val="auto"/>
              </w:rPr>
            </w:pPr>
          </w:p>
        </w:tc>
        <w:tc>
          <w:tcPr>
            <w:tcW w:w="940" w:type="dxa"/>
            <w:vAlign w:val="bottom"/>
            <w:tcBorders>
              <w:bottom w:val="single" w:sz="8" w:color="ADADAD"/>
            </w:tcBorders>
          </w:tcPr>
          <w:p>
            <w:pPr>
              <w:jc w:val="center"/>
              <w:spacing w:after="0"/>
              <w:rPr>
                <w:sz w:val="20"/>
                <w:szCs w:val="20"/>
                <w:color w:val="auto"/>
              </w:rPr>
            </w:pPr>
            <w:r>
              <w:rPr>
                <w:rFonts w:ascii="Times New Roman" w:cs="Times New Roman" w:eastAsia="Times New Roman" w:hAnsi="Times New Roman"/>
                <w:sz w:val="15"/>
                <w:szCs w:val="15"/>
                <w:color w:val="auto"/>
                <w:w w:val="89"/>
              </w:rPr>
              <w:t>50%</w:t>
            </w:r>
            <w:r>
              <w:rPr>
                <w:rFonts w:ascii="Times New Roman" w:cs="Times New Roman" w:eastAsia="Times New Roman" w:hAnsi="Times New Roman"/>
                <w:sz w:val="19"/>
                <w:szCs w:val="19"/>
                <w:color w:val="auto"/>
                <w:w w:val="89"/>
                <w:vertAlign w:val="superscript"/>
              </w:rPr>
              <w:t>(1)</w:t>
            </w:r>
          </w:p>
        </w:tc>
        <w:tc>
          <w:tcPr>
            <w:tcW w:w="820" w:type="dxa"/>
            <w:vAlign w:val="bottom"/>
            <w:tcBorders>
              <w:bottom w:val="single" w:sz="8" w:color="ADADAD"/>
            </w:tcBorders>
          </w:tcPr>
          <w:p>
            <w:pPr>
              <w:jc w:val="center"/>
              <w:spacing w:after="0"/>
              <w:rPr>
                <w:sz w:val="20"/>
                <w:szCs w:val="20"/>
                <w:color w:val="auto"/>
              </w:rPr>
            </w:pPr>
            <w:r>
              <w:rPr>
                <w:rFonts w:ascii="Times New Roman" w:cs="Times New Roman" w:eastAsia="Times New Roman" w:hAnsi="Times New Roman"/>
                <w:sz w:val="15"/>
                <w:szCs w:val="15"/>
                <w:color w:val="auto"/>
                <w:w w:val="97"/>
              </w:rPr>
              <w:t>100%</w:t>
            </w:r>
          </w:p>
        </w:tc>
        <w:tc>
          <w:tcPr>
            <w:tcW w:w="940" w:type="dxa"/>
            <w:vAlign w:val="bottom"/>
            <w:tcBorders>
              <w:bottom w:val="single" w:sz="8" w:color="ADADAD"/>
            </w:tcBorders>
          </w:tcPr>
          <w:p>
            <w:pPr>
              <w:jc w:val="right"/>
              <w:ind w:right="174"/>
              <w:spacing w:after="0"/>
              <w:rPr>
                <w:sz w:val="20"/>
                <w:szCs w:val="20"/>
                <w:color w:val="auto"/>
              </w:rPr>
            </w:pPr>
            <w:r>
              <w:rPr>
                <w:rFonts w:ascii="Times New Roman" w:cs="Times New Roman" w:eastAsia="Times New Roman" w:hAnsi="Times New Roman"/>
                <w:sz w:val="15"/>
                <w:szCs w:val="15"/>
                <w:color w:val="auto"/>
              </w:rPr>
              <w:t>200%</w:t>
            </w:r>
          </w:p>
        </w:tc>
        <w:tc>
          <w:tcPr>
            <w:tcW w:w="220" w:type="dxa"/>
            <w:vAlign w:val="bottom"/>
            <w:tcBorders>
              <w:bottom w:val="single" w:sz="8" w:color="ADADAD"/>
            </w:tcBorders>
          </w:tcPr>
          <w:p>
            <w:pPr>
              <w:spacing w:after="0"/>
              <w:rPr>
                <w:sz w:val="19"/>
                <w:szCs w:val="19"/>
                <w:color w:val="auto"/>
              </w:rPr>
            </w:pPr>
          </w:p>
        </w:tc>
        <w:tc>
          <w:tcPr>
            <w:tcW w:w="920" w:type="dxa"/>
            <w:vAlign w:val="bottom"/>
            <w:tcBorders>
              <w:bottom w:val="single" w:sz="8" w:color="ADADAD"/>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Fair Value</w:t>
            </w:r>
            <w:r>
              <w:rPr>
                <w:rFonts w:ascii="Times New Roman" w:cs="Times New Roman" w:eastAsia="Times New Roman" w:hAnsi="Times New Roman"/>
                <w:sz w:val="19"/>
                <w:szCs w:val="19"/>
                <w:color w:val="auto"/>
                <w:vertAlign w:val="superscript"/>
              </w:rPr>
              <w:t>(2)</w:t>
            </w:r>
          </w:p>
        </w:tc>
        <w:tc>
          <w:tcPr>
            <w:tcW w:w="0" w:type="dxa"/>
            <w:vAlign w:val="bottom"/>
          </w:tcPr>
          <w:p>
            <w:pPr>
              <w:spacing w:after="0"/>
              <w:rPr>
                <w:sz w:val="1"/>
                <w:szCs w:val="1"/>
                <w:color w:val="auto"/>
              </w:rPr>
            </w:pPr>
          </w:p>
        </w:tc>
      </w:tr>
      <w:tr>
        <w:trPr>
          <w:trHeight w:val="237"/>
        </w:trPr>
        <w:tc>
          <w:tcPr>
            <w:tcW w:w="1900" w:type="dxa"/>
            <w:vAlign w:val="bottom"/>
            <w:tcBorders>
              <w:right w:val="single" w:sz="8" w:color="ECECEC"/>
            </w:tcBorders>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2/26/2025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880,000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BDBDB"/>
            </w:tcBorders>
          </w:tcPr>
          <w:p>
            <w:pPr>
              <w:jc w:val="right"/>
              <w:ind w:right="74"/>
              <w:spacing w:after="0"/>
              <w:rPr>
                <w:sz w:val="20"/>
                <w:szCs w:val="20"/>
                <w:color w:val="auto"/>
              </w:rPr>
            </w:pPr>
            <w:r>
              <w:rPr>
                <w:rFonts w:ascii="Times New Roman" w:cs="Times New Roman" w:eastAsia="Times New Roman" w:hAnsi="Times New Roman"/>
                <w:sz w:val="18"/>
                <w:szCs w:val="18"/>
                <w:color w:val="auto"/>
              </w:rPr>
              <w:t>1,760,000</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2/26/2025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8,764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17,527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35,054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2,420,566</w:t>
            </w: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right w:val="single" w:sz="8" w:color="ECECEC"/>
            </w:tcBorders>
          </w:tcPr>
          <w:p>
            <w:pPr>
              <w:spacing w:after="0"/>
              <w:rPr>
                <w:sz w:val="2"/>
                <w:szCs w:val="2"/>
                <w:color w:val="auto"/>
              </w:rPr>
            </w:pPr>
          </w:p>
        </w:tc>
        <w:tc>
          <w:tcPr>
            <w:tcW w:w="1060" w:type="dxa"/>
            <w:vAlign w:val="bottom"/>
            <w:tcBorders>
              <w:bottom w:val="single" w:sz="8" w:color="DBDBDB"/>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040" w:type="dxa"/>
            <w:vAlign w:val="bottom"/>
            <w:tcBorders>
              <w:bottom w:val="single" w:sz="8" w:color="DBDBDB"/>
              <w:right w:val="single" w:sz="8" w:color="DBDBDB"/>
            </w:tcBorders>
          </w:tcPr>
          <w:p>
            <w:pPr>
              <w:spacing w:after="0"/>
              <w:rPr>
                <w:sz w:val="2"/>
                <w:szCs w:val="2"/>
                <w:color w:val="auto"/>
              </w:rPr>
            </w:pPr>
          </w:p>
        </w:tc>
        <w:tc>
          <w:tcPr>
            <w:tcW w:w="108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920" w:type="dxa"/>
            <w:vAlign w:val="bottom"/>
            <w:tcBorders>
              <w:bottom w:val="single" w:sz="8" w:color="DBDBDB"/>
              <w:right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right w:val="single" w:sz="8" w:color="ECECEC"/>
            </w:tcBorders>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2/26/2025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141,625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283,250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BDBDB"/>
            </w:tcBorders>
          </w:tcPr>
          <w:p>
            <w:pPr>
              <w:jc w:val="right"/>
              <w:ind w:right="74"/>
              <w:spacing w:after="0"/>
              <w:rPr>
                <w:sz w:val="20"/>
                <w:szCs w:val="20"/>
                <w:color w:val="auto"/>
              </w:rPr>
            </w:pPr>
            <w:r>
              <w:rPr>
                <w:rFonts w:ascii="Times New Roman" w:cs="Times New Roman" w:eastAsia="Times New Roman" w:hAnsi="Times New Roman"/>
                <w:sz w:val="18"/>
                <w:szCs w:val="18"/>
                <w:color w:val="auto"/>
              </w:rPr>
              <w:t>566,500</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2/26/2025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2,564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5,128</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708,202</w:t>
            </w: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right w:val="single" w:sz="8" w:color="ECECEC"/>
            </w:tcBorders>
          </w:tcPr>
          <w:p>
            <w:pPr>
              <w:spacing w:after="0"/>
              <w:rPr>
                <w:sz w:val="2"/>
                <w:szCs w:val="2"/>
                <w:color w:val="auto"/>
              </w:rPr>
            </w:pPr>
          </w:p>
        </w:tc>
        <w:tc>
          <w:tcPr>
            <w:tcW w:w="1060" w:type="dxa"/>
            <w:vAlign w:val="bottom"/>
            <w:tcBorders>
              <w:bottom w:val="single" w:sz="8" w:color="DBDBDB"/>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040" w:type="dxa"/>
            <w:vAlign w:val="bottom"/>
            <w:tcBorders>
              <w:bottom w:val="single" w:sz="8" w:color="DBDBDB"/>
              <w:right w:val="single" w:sz="8" w:color="DBDBDB"/>
            </w:tcBorders>
          </w:tcPr>
          <w:p>
            <w:pPr>
              <w:spacing w:after="0"/>
              <w:rPr>
                <w:sz w:val="2"/>
                <w:szCs w:val="2"/>
                <w:color w:val="auto"/>
              </w:rPr>
            </w:pPr>
          </w:p>
        </w:tc>
        <w:tc>
          <w:tcPr>
            <w:tcW w:w="108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920" w:type="dxa"/>
            <w:vAlign w:val="bottom"/>
            <w:tcBorders>
              <w:bottom w:val="single" w:sz="8" w:color="DBDBDB"/>
              <w:right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right w:val="single" w:sz="8" w:color="ECECEC"/>
            </w:tcBorders>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2/26/2025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266,750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BDBDB"/>
            </w:tcBorders>
          </w:tcPr>
          <w:p>
            <w:pPr>
              <w:jc w:val="right"/>
              <w:ind w:right="74"/>
              <w:spacing w:after="0"/>
              <w:rPr>
                <w:sz w:val="20"/>
                <w:szCs w:val="20"/>
                <w:color w:val="auto"/>
              </w:rPr>
            </w:pPr>
            <w:r>
              <w:rPr>
                <w:rFonts w:ascii="Times New Roman" w:cs="Times New Roman" w:eastAsia="Times New Roman" w:hAnsi="Times New Roman"/>
                <w:sz w:val="18"/>
                <w:szCs w:val="18"/>
                <w:color w:val="auto"/>
              </w:rPr>
              <w:t>533,500</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2/26/2025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2,415</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4,830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9,660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667,047</w:t>
            </w: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right w:val="single" w:sz="8" w:color="ECECEC"/>
            </w:tcBorders>
          </w:tcPr>
          <w:p>
            <w:pPr>
              <w:spacing w:after="0"/>
              <w:rPr>
                <w:sz w:val="2"/>
                <w:szCs w:val="2"/>
                <w:color w:val="auto"/>
              </w:rPr>
            </w:pPr>
          </w:p>
        </w:tc>
        <w:tc>
          <w:tcPr>
            <w:tcW w:w="1060" w:type="dxa"/>
            <w:vAlign w:val="bottom"/>
            <w:tcBorders>
              <w:bottom w:val="single" w:sz="8" w:color="DBDBDB"/>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040" w:type="dxa"/>
            <w:vAlign w:val="bottom"/>
            <w:tcBorders>
              <w:bottom w:val="single" w:sz="8" w:color="DBDBDB"/>
              <w:right w:val="single" w:sz="8" w:color="DBDBDB"/>
            </w:tcBorders>
          </w:tcPr>
          <w:p>
            <w:pPr>
              <w:spacing w:after="0"/>
              <w:rPr>
                <w:sz w:val="2"/>
                <w:szCs w:val="2"/>
                <w:color w:val="auto"/>
              </w:rPr>
            </w:pPr>
          </w:p>
        </w:tc>
        <w:tc>
          <w:tcPr>
            <w:tcW w:w="108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920" w:type="dxa"/>
            <w:vAlign w:val="bottom"/>
            <w:tcBorders>
              <w:bottom w:val="single" w:sz="8" w:color="DBDBDB"/>
              <w:right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right w:val="single" w:sz="8" w:color="ECECEC"/>
            </w:tcBorders>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2/26/2025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237,500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BDBDB"/>
            </w:tcBorders>
          </w:tcPr>
          <w:p>
            <w:pPr>
              <w:jc w:val="right"/>
              <w:ind w:right="74"/>
              <w:spacing w:after="0"/>
              <w:rPr>
                <w:sz w:val="20"/>
                <w:szCs w:val="20"/>
                <w:color w:val="auto"/>
              </w:rPr>
            </w:pPr>
            <w:r>
              <w:rPr>
                <w:rFonts w:ascii="Times New Roman" w:cs="Times New Roman" w:eastAsia="Times New Roman" w:hAnsi="Times New Roman"/>
                <w:sz w:val="18"/>
                <w:szCs w:val="18"/>
                <w:color w:val="auto"/>
              </w:rPr>
              <w:t>475,000</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2/26/2025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3,405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6,810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470,248</w:t>
            </w: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right w:val="single" w:sz="8" w:color="ECECEC"/>
            </w:tcBorders>
          </w:tcPr>
          <w:p>
            <w:pPr>
              <w:spacing w:after="0"/>
              <w:rPr>
                <w:sz w:val="2"/>
                <w:szCs w:val="2"/>
                <w:color w:val="auto"/>
              </w:rPr>
            </w:pPr>
          </w:p>
        </w:tc>
        <w:tc>
          <w:tcPr>
            <w:tcW w:w="1060" w:type="dxa"/>
            <w:vAlign w:val="bottom"/>
            <w:tcBorders>
              <w:bottom w:val="single" w:sz="8" w:color="DBDBDB"/>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040" w:type="dxa"/>
            <w:vAlign w:val="bottom"/>
            <w:tcBorders>
              <w:bottom w:val="single" w:sz="8" w:color="DBDBDB"/>
              <w:right w:val="single" w:sz="8" w:color="DBDBDB"/>
            </w:tcBorders>
          </w:tcPr>
          <w:p>
            <w:pPr>
              <w:spacing w:after="0"/>
              <w:rPr>
                <w:sz w:val="2"/>
                <w:szCs w:val="2"/>
                <w:color w:val="auto"/>
              </w:rPr>
            </w:pPr>
          </w:p>
        </w:tc>
        <w:tc>
          <w:tcPr>
            <w:tcW w:w="108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920" w:type="dxa"/>
            <w:vAlign w:val="bottom"/>
            <w:tcBorders>
              <w:bottom w:val="single" w:sz="8" w:color="DBDBDB"/>
              <w:right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tcBorders>
              <w:right w:val="single" w:sz="8" w:color="ECECEC"/>
            </w:tcBorders>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2/26/2025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184,000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DBDBDB"/>
            </w:tcBorders>
          </w:tcPr>
          <w:p>
            <w:pPr>
              <w:jc w:val="right"/>
              <w:ind w:right="74"/>
              <w:spacing w:after="0"/>
              <w:rPr>
                <w:sz w:val="20"/>
                <w:szCs w:val="20"/>
                <w:color w:val="auto"/>
              </w:rPr>
            </w:pPr>
            <w:r>
              <w:rPr>
                <w:rFonts w:ascii="Times New Roman" w:cs="Times New Roman" w:eastAsia="Times New Roman" w:hAnsi="Times New Roman"/>
                <w:sz w:val="18"/>
                <w:szCs w:val="18"/>
                <w:color w:val="auto"/>
              </w:rPr>
              <w:t>368,000</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2/26/2025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2,345</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4,690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DBDBDB"/>
            </w:tcBorders>
          </w:tcPr>
          <w:p>
            <w:pPr>
              <w:jc w:val="right"/>
              <w:spacing w:after="0"/>
              <w:rPr>
                <w:sz w:val="20"/>
                <w:szCs w:val="20"/>
                <w:color w:val="auto"/>
              </w:rPr>
            </w:pPr>
            <w:r>
              <w:rPr>
                <w:rFonts w:ascii="Times New Roman" w:cs="Times New Roman" w:eastAsia="Times New Roman" w:hAnsi="Times New Roman"/>
                <w:sz w:val="18"/>
                <w:szCs w:val="18"/>
                <w:color w:val="auto"/>
              </w:rPr>
              <w:t>323,856</w:t>
            </w:r>
          </w:p>
        </w:tc>
        <w:tc>
          <w:tcPr>
            <w:tcW w:w="0" w:type="dxa"/>
            <w:vAlign w:val="bottom"/>
          </w:tcPr>
          <w:p>
            <w:pPr>
              <w:spacing w:after="0"/>
              <w:rPr>
                <w:sz w:val="1"/>
                <w:szCs w:val="1"/>
                <w:color w:val="auto"/>
              </w:rPr>
            </w:pPr>
          </w:p>
        </w:tc>
      </w:tr>
      <w:tr>
        <w:trPr>
          <w:trHeight w:val="27"/>
        </w:trPr>
        <w:tc>
          <w:tcPr>
            <w:tcW w:w="1900" w:type="dxa"/>
            <w:vAlign w:val="bottom"/>
            <w:tcBorders>
              <w:bottom w:val="single" w:sz="8" w:color="DBDBDB"/>
              <w:right w:val="single" w:sz="8" w:color="ECECEC"/>
            </w:tcBorders>
          </w:tcPr>
          <w:p>
            <w:pPr>
              <w:spacing w:after="0"/>
              <w:rPr>
                <w:sz w:val="2"/>
                <w:szCs w:val="2"/>
                <w:color w:val="auto"/>
              </w:rPr>
            </w:pPr>
          </w:p>
        </w:tc>
        <w:tc>
          <w:tcPr>
            <w:tcW w:w="1060" w:type="dxa"/>
            <w:vAlign w:val="bottom"/>
            <w:tcBorders>
              <w:bottom w:val="single" w:sz="8" w:color="DBDBDB"/>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40" w:type="dxa"/>
            <w:vAlign w:val="bottom"/>
            <w:tcBorders>
              <w:bottom w:val="single" w:sz="8" w:color="DBDBDB"/>
            </w:tcBorders>
          </w:tcPr>
          <w:p>
            <w:pPr>
              <w:spacing w:after="0"/>
              <w:rPr>
                <w:sz w:val="2"/>
                <w:szCs w:val="2"/>
                <w:color w:val="auto"/>
              </w:rPr>
            </w:pPr>
          </w:p>
        </w:tc>
        <w:tc>
          <w:tcPr>
            <w:tcW w:w="88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1040" w:type="dxa"/>
            <w:vAlign w:val="bottom"/>
            <w:tcBorders>
              <w:bottom w:val="single" w:sz="8" w:color="DBDBDB"/>
              <w:right w:val="single" w:sz="8" w:color="DBDBDB"/>
            </w:tcBorders>
          </w:tcPr>
          <w:p>
            <w:pPr>
              <w:spacing w:after="0"/>
              <w:rPr>
                <w:sz w:val="2"/>
                <w:szCs w:val="2"/>
                <w:color w:val="auto"/>
              </w:rPr>
            </w:pPr>
          </w:p>
        </w:tc>
        <w:tc>
          <w:tcPr>
            <w:tcW w:w="108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820" w:type="dxa"/>
            <w:vAlign w:val="bottom"/>
            <w:tcBorders>
              <w:bottom w:val="single" w:sz="8" w:color="DBDBDB"/>
            </w:tcBorders>
          </w:tcPr>
          <w:p>
            <w:pPr>
              <w:spacing w:after="0"/>
              <w:rPr>
                <w:sz w:val="2"/>
                <w:szCs w:val="2"/>
                <w:color w:val="auto"/>
              </w:rPr>
            </w:pPr>
          </w:p>
        </w:tc>
        <w:tc>
          <w:tcPr>
            <w:tcW w:w="940" w:type="dxa"/>
            <w:vAlign w:val="bottom"/>
            <w:tcBorders>
              <w:bottom w:val="single" w:sz="8" w:color="DBDBDB"/>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920" w:type="dxa"/>
            <w:vAlign w:val="bottom"/>
            <w:tcBorders>
              <w:bottom w:val="single" w:sz="8" w:color="DBDBDB"/>
              <w:right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80" w:right="40" w:hanging="72"/>
        <w:spacing w:after="0" w:line="214" w:lineRule="auto"/>
        <w:tabs>
          <w:tab w:leader="none" w:pos="73" w:val="left"/>
        </w:tabs>
        <w:numPr>
          <w:ilvl w:val="0"/>
          <w:numId w:val="5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payout opportunity as a percent of the target award for the Growth in Long-term Earnings and ROE performance components is 0% (minimum), 50% (threshold), 100% (target) and 200% (maximum). A TSR modifier of +/- 20% will be applied to each NEO's total achievement of the performance components for the 2025-2027 performance period.</w:t>
      </w:r>
    </w:p>
    <w:p>
      <w:pPr>
        <w:spacing w:after="0" w:line="80" w:lineRule="exact"/>
        <w:rPr>
          <w:sz w:val="20"/>
          <w:szCs w:val="20"/>
          <w:color w:val="auto"/>
        </w:rPr>
      </w:pPr>
    </w:p>
    <w:p>
      <w:pPr>
        <w:jc w:val="both"/>
        <w:ind w:left="80" w:right="20" w:hanging="72"/>
        <w:spacing w:after="0" w:line="231" w:lineRule="auto"/>
        <w:tabs>
          <w:tab w:leader="none" w:pos="73" w:val="left"/>
        </w:tabs>
        <w:numPr>
          <w:ilvl w:val="0"/>
          <w:numId w:val="5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For the 2025-2027 performance period, we calculated the aggregate grant date fair value of the performance-based equity incentive awards based on the estimated compensation costs on the grant date. We estimated that 100% of the Growth in Long-Term Earnings component and 100% of the ROE component are likely to be earned. These equity incentive awards have been recorded at the grant date fair value of $125.94 per share, which is based on the closing price on February 26, 2025, the grant date. We also evaluated the likelihood of earning the TSR component for this performance period. We first determined the aggregate fair value of the award using a third-party model. The Company's TSR was then compared to the TSR of companies in our performance peer group using a Monte Carlo stock simulation. The Monte Carlo stock simulation estimated a percentile ranking for the TSR component of approximately 46%, representing a 50% payout. For the 2025-2027 performance period, the performance share fair value of $121.65 per share was generated from the third-party model and used to calculate the aggregate grant date value of this component of the award. The number of actual performance shares earned will range from 0% to 200% of the target performance shares depending on actual performance as compared to the performance goals, including peer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Outstanding Equity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 xml:space="preserve">In February 2024, after consideration and approval by the Board, the Compensation Committee granted performance shares to the NEOs for the 2024-2026 performance period. The values of these awards are reflected in the </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xml:space="preserve"> column for 2024 in the Summary Compensation Table, as applicable for each NEO, and are further described under the </w:t>
      </w:r>
      <w:r>
        <w:rPr>
          <w:rFonts w:ascii="Times New Roman" w:cs="Times New Roman" w:eastAsia="Times New Roman" w:hAnsi="Times New Roman"/>
          <w:sz w:val="18"/>
          <w:szCs w:val="18"/>
          <w:i w:val="1"/>
          <w:iCs w:val="1"/>
          <w:color w:val="auto"/>
        </w:rPr>
        <w:t>Equity Incentive Awards</w:t>
      </w:r>
      <w:r>
        <w:rPr>
          <w:rFonts w:ascii="Times New Roman" w:cs="Times New Roman" w:eastAsia="Times New Roman" w:hAnsi="Times New Roman"/>
          <w:sz w:val="18"/>
          <w:szCs w:val="18"/>
          <w:color w:val="auto"/>
        </w:rPr>
        <w:t xml:space="preserve"> section in this Proxy Statement and the </w:t>
      </w:r>
      <w:r>
        <w:rPr>
          <w:rFonts w:ascii="Times New Roman" w:cs="Times New Roman" w:eastAsia="Times New Roman" w:hAnsi="Times New Roman"/>
          <w:sz w:val="18"/>
          <w:szCs w:val="18"/>
          <w:i w:val="1"/>
          <w:iCs w:val="1"/>
          <w:color w:val="auto"/>
        </w:rPr>
        <w:t>2024 Equity Incentive Awards</w:t>
      </w:r>
      <w:r>
        <w:rPr>
          <w:rFonts w:ascii="Times New Roman" w:cs="Times New Roman" w:eastAsia="Times New Roman" w:hAnsi="Times New Roman"/>
          <w:sz w:val="18"/>
          <w:szCs w:val="18"/>
          <w:color w:val="auto"/>
        </w:rPr>
        <w:t xml:space="preserve"> section in the Company's Proxy Statement filed with the SEC on March 25, 2025.</w:t>
      </w:r>
    </w:p>
    <w:p>
      <w:pPr>
        <w:spacing w:after="0" w:line="200" w:lineRule="exact"/>
        <w:rPr>
          <w:sz w:val="20"/>
          <w:szCs w:val="20"/>
          <w:color w:val="auto"/>
        </w:rPr>
      </w:pPr>
    </w:p>
    <w:p>
      <w:pPr>
        <w:spacing w:after="0" w:line="33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38" w:right="31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February 2025, after consideration and approval by the Board, the Compensation Committee granted performance shares to the NEOs for the 2025-2027 performance period. The values of these awards are reflected in the </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xml:space="preserve"> column for 2025 in the Summary Compensation Table and in the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Date Fair Value </w:t>
      </w:r>
      <w:r>
        <w:rPr>
          <w:rFonts w:ascii="Times New Roman" w:cs="Times New Roman" w:eastAsia="Times New Roman" w:hAnsi="Times New Roman"/>
          <w:sz w:val="18"/>
          <w:szCs w:val="18"/>
          <w:color w:val="auto"/>
        </w:rPr>
        <w:t>column in the Grants of Plan-Based Awards Table. Please refer to the</w:t>
      </w:r>
      <w:r>
        <w:rPr>
          <w:rFonts w:ascii="Times New Roman" w:cs="Times New Roman" w:eastAsia="Times New Roman" w:hAnsi="Times New Roman"/>
          <w:sz w:val="18"/>
          <w:szCs w:val="18"/>
          <w:i w:val="1"/>
          <w:iCs w:val="1"/>
          <w:color w:val="auto"/>
        </w:rPr>
        <w:t xml:space="preserve"> 2025 Equity Incentive Awards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Grants of Plan-Based Awards </w:t>
      </w:r>
      <w:r>
        <w:rPr>
          <w:rFonts w:ascii="Times New Roman" w:cs="Times New Roman" w:eastAsia="Times New Roman" w:hAnsi="Times New Roman"/>
          <w:sz w:val="18"/>
          <w:szCs w:val="18"/>
          <w:color w:val="auto"/>
        </w:rPr>
        <w:t>sections in this Proxy Statement for additional details on these awards.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granted to the executive officers, as applicable, for the 2024-2026 and 2025-2027 performance periods were outstanding at December 31, 2025. No awards have been transferred.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FOR THE NEOs AT DECEMBER 31, 2025</w:t>
            </w:r>
          </w:p>
        </w:tc>
        <w:tc>
          <w:tcPr>
            <w:tcW w:w="1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8"/>
                <w:szCs w:val="18"/>
                <w:color w:val="auto"/>
              </w:rPr>
            </w:pPr>
          </w:p>
        </w:tc>
        <w:tc>
          <w:tcPr>
            <w:tcW w:w="4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w:t>
            </w:r>
          </w:p>
        </w:tc>
        <w:tc>
          <w:tcPr>
            <w:tcW w:w="46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Equity Incentive Plan Awards:</w:t>
            </w:r>
          </w:p>
        </w:tc>
        <w:tc>
          <w:tcPr>
            <w:tcW w:w="0" w:type="dxa"/>
            <w:vAlign w:val="bottom"/>
          </w:tcPr>
          <w:p>
            <w:pPr>
              <w:spacing w:after="0"/>
              <w:rPr>
                <w:sz w:val="1"/>
                <w:szCs w:val="1"/>
                <w:color w:val="auto"/>
              </w:rPr>
            </w:pPr>
          </w:p>
        </w:tc>
      </w:tr>
      <w:tr>
        <w:trPr>
          <w:trHeight w:val="184"/>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NEO</w:t>
            </w:r>
          </w:p>
        </w:tc>
        <w:tc>
          <w:tcPr>
            <w:tcW w:w="44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rPr>
              <w:t>Number of Unearned Shares, Units</w:t>
            </w:r>
          </w:p>
        </w:tc>
        <w:tc>
          <w:tcPr>
            <w:tcW w:w="4600" w:type="dxa"/>
            <w:vAlign w:val="bottom"/>
            <w:gridSpan w:val="2"/>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Market or Payout Value of Unearned Shares,</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ADADAD"/>
            </w:tcBorders>
            <w:vMerge w:val="continue"/>
          </w:tcPr>
          <w:p>
            <w:pPr>
              <w:spacing w:after="0"/>
              <w:rPr>
                <w:sz w:val="19"/>
                <w:szCs w:val="19"/>
                <w:color w:val="auto"/>
              </w:rPr>
            </w:pPr>
          </w:p>
        </w:tc>
        <w:tc>
          <w:tcPr>
            <w:tcW w:w="4460" w:type="dxa"/>
            <w:vAlign w:val="bottom"/>
            <w:tcBorders>
              <w:bottom w:val="single" w:sz="8" w:color="ADADAD"/>
            </w:tcBorders>
          </w:tcPr>
          <w:p>
            <w:pPr>
              <w:jc w:val="center"/>
              <w:ind w:right="250"/>
              <w:spacing w:after="0" w:line="230" w:lineRule="exact"/>
              <w:rPr>
                <w:sz w:val="20"/>
                <w:szCs w:val="20"/>
                <w:color w:val="auto"/>
              </w:rPr>
            </w:pPr>
            <w:r>
              <w:rPr>
                <w:rFonts w:ascii="Times New Roman" w:cs="Times New Roman" w:eastAsia="Times New Roman" w:hAnsi="Times New Roman"/>
                <w:sz w:val="18"/>
                <w:szCs w:val="18"/>
                <w:b w:val="1"/>
                <w:bCs w:val="1"/>
                <w:color w:val="auto"/>
                <w:w w:val="97"/>
              </w:rPr>
              <w:t>or Other Rights That Have Not Vested</w:t>
            </w:r>
            <w:r>
              <w:rPr>
                <w:rFonts w:ascii="Times New Roman" w:cs="Times New Roman" w:eastAsia="Times New Roman" w:hAnsi="Times New Roman"/>
                <w:sz w:val="23"/>
                <w:szCs w:val="23"/>
                <w:b w:val="1"/>
                <w:bCs w:val="1"/>
                <w:color w:val="auto"/>
                <w:w w:val="97"/>
                <w:vertAlign w:val="superscript"/>
              </w:rPr>
              <w:t>(1</w:t>
            </w:r>
            <w:r>
              <w:rPr>
                <w:rFonts w:ascii="Times New Roman" w:cs="Times New Roman" w:eastAsia="Times New Roman" w:hAnsi="Times New Roman"/>
                <w:sz w:val="23"/>
                <w:szCs w:val="23"/>
                <w:color w:val="auto"/>
                <w:w w:val="97"/>
                <w:vertAlign w:val="superscript"/>
              </w:rPr>
              <w:t>)</w:t>
            </w:r>
          </w:p>
        </w:tc>
        <w:tc>
          <w:tcPr>
            <w:tcW w:w="4600" w:type="dxa"/>
            <w:vAlign w:val="bottom"/>
            <w:tcBorders>
              <w:bottom w:val="single" w:sz="8" w:color="ADADAD"/>
            </w:tcBorders>
            <w:gridSpan w:val="2"/>
          </w:tcPr>
          <w:p>
            <w:pPr>
              <w:jc w:val="center"/>
              <w:ind w:right="230"/>
              <w:spacing w:after="0" w:line="230" w:lineRule="exact"/>
              <w:rPr>
                <w:sz w:val="20"/>
                <w:szCs w:val="20"/>
                <w:color w:val="auto"/>
              </w:rPr>
            </w:pPr>
            <w:r>
              <w:rPr>
                <w:rFonts w:ascii="Times New Roman" w:cs="Times New Roman" w:eastAsia="Times New Roman" w:hAnsi="Times New Roman"/>
                <w:sz w:val="18"/>
                <w:szCs w:val="18"/>
                <w:b w:val="1"/>
                <w:bCs w:val="1"/>
                <w:color w:val="auto"/>
                <w:w w:val="98"/>
              </w:rPr>
              <w:t>Units, or Other Rights That Have Not Vested</w:t>
            </w:r>
            <w:r>
              <w:rPr>
                <w:rFonts w:ascii="Times New Roman" w:cs="Times New Roman" w:eastAsia="Times New Roman" w:hAnsi="Times New Roman"/>
                <w:sz w:val="23"/>
                <w:szCs w:val="23"/>
                <w:b w:val="1"/>
                <w:bCs w:val="1"/>
                <w:color w:val="auto"/>
                <w:w w:val="98"/>
                <w:vertAlign w:val="superscript"/>
              </w:rPr>
              <w:t>(2</w:t>
            </w:r>
            <w:r>
              <w:rPr>
                <w:rFonts w:ascii="Times New Roman" w:cs="Times New Roman" w:eastAsia="Times New Roman" w:hAnsi="Times New Roman"/>
                <w:sz w:val="23"/>
                <w:szCs w:val="23"/>
                <w:color w:val="auto"/>
                <w:w w:val="98"/>
                <w:vertAlign w:val="superscript"/>
              </w:rPr>
              <w:t>)</w:t>
            </w:r>
          </w:p>
        </w:tc>
        <w:tc>
          <w:tcPr>
            <w:tcW w:w="0" w:type="dxa"/>
            <w:vAlign w:val="bottom"/>
          </w:tcPr>
          <w:p>
            <w:pPr>
              <w:spacing w:after="0"/>
              <w:rPr>
                <w:sz w:val="1"/>
                <w:szCs w:val="1"/>
                <w:color w:val="auto"/>
              </w:rPr>
            </w:pPr>
          </w:p>
        </w:tc>
      </w:tr>
      <w:tr>
        <w:trPr>
          <w:trHeight w:val="23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4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70,044</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8,738,689</w:t>
            </w:r>
          </w:p>
        </w:tc>
        <w:tc>
          <w:tcPr>
            <w:tcW w:w="0" w:type="dxa"/>
            <w:vAlign w:val="bottom"/>
          </w:tcPr>
          <w:p>
            <w:pPr>
              <w:spacing w:after="0"/>
              <w:rPr>
                <w:sz w:val="1"/>
                <w:szCs w:val="1"/>
                <w:color w:val="auto"/>
              </w:rPr>
            </w:pPr>
          </w:p>
        </w:tc>
      </w:tr>
      <w:tr>
        <w:trPr>
          <w:trHeight w:val="27"/>
        </w:trPr>
        <w:tc>
          <w:tcPr>
            <w:tcW w:w="2180" w:type="dxa"/>
            <w:vAlign w:val="bottom"/>
            <w:tcBorders>
              <w:bottom w:val="single" w:sz="8" w:color="DBDBDB"/>
            </w:tcBorders>
          </w:tcPr>
          <w:p>
            <w:pPr>
              <w:spacing w:after="0"/>
              <w:rPr>
                <w:sz w:val="2"/>
                <w:szCs w:val="2"/>
                <w:color w:val="auto"/>
              </w:rPr>
            </w:pPr>
          </w:p>
        </w:tc>
        <w:tc>
          <w:tcPr>
            <w:tcW w:w="446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28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4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22,480</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2,804,605</w:t>
            </w:r>
          </w:p>
        </w:tc>
        <w:tc>
          <w:tcPr>
            <w:tcW w:w="0" w:type="dxa"/>
            <w:vAlign w:val="bottom"/>
          </w:tcPr>
          <w:p>
            <w:pPr>
              <w:spacing w:after="0"/>
              <w:rPr>
                <w:sz w:val="1"/>
                <w:szCs w:val="1"/>
                <w:color w:val="auto"/>
              </w:rPr>
            </w:pPr>
          </w:p>
        </w:tc>
      </w:tr>
      <w:tr>
        <w:trPr>
          <w:trHeight w:val="27"/>
        </w:trPr>
        <w:tc>
          <w:tcPr>
            <w:tcW w:w="2180" w:type="dxa"/>
            <w:vAlign w:val="bottom"/>
            <w:tcBorders>
              <w:bottom w:val="single" w:sz="8" w:color="DBDBDB"/>
            </w:tcBorders>
          </w:tcPr>
          <w:p>
            <w:pPr>
              <w:spacing w:after="0"/>
              <w:rPr>
                <w:sz w:val="2"/>
                <w:szCs w:val="2"/>
                <w:color w:val="auto"/>
              </w:rPr>
            </w:pPr>
          </w:p>
        </w:tc>
        <w:tc>
          <w:tcPr>
            <w:tcW w:w="446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28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4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21,168</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2,640,920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DBDBDB"/>
            </w:tcBorders>
          </w:tcPr>
          <w:p>
            <w:pPr>
              <w:spacing w:after="0"/>
              <w:rPr>
                <w:sz w:val="2"/>
                <w:szCs w:val="2"/>
                <w:color w:val="auto"/>
              </w:rPr>
            </w:pPr>
          </w:p>
        </w:tc>
        <w:tc>
          <w:tcPr>
            <w:tcW w:w="446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28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4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13,416</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1,673,780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DBDBDB"/>
            </w:tcBorders>
          </w:tcPr>
          <w:p>
            <w:pPr>
              <w:spacing w:after="0"/>
              <w:rPr>
                <w:sz w:val="2"/>
                <w:szCs w:val="2"/>
                <w:color w:val="auto"/>
              </w:rPr>
            </w:pPr>
          </w:p>
        </w:tc>
        <w:tc>
          <w:tcPr>
            <w:tcW w:w="4460" w:type="dxa"/>
            <w:vAlign w:val="bottom"/>
            <w:tcBorders>
              <w:bottom w:val="single" w:sz="8" w:color="DBDBDB"/>
            </w:tcBorders>
          </w:tcPr>
          <w:p>
            <w:pPr>
              <w:spacing w:after="0"/>
              <w:rPr>
                <w:sz w:val="2"/>
                <w:szCs w:val="2"/>
                <w:color w:val="auto"/>
              </w:rPr>
            </w:pPr>
          </w:p>
        </w:tc>
        <w:tc>
          <w:tcPr>
            <w:tcW w:w="1720" w:type="dxa"/>
            <w:vAlign w:val="bottom"/>
            <w:tcBorders>
              <w:bottom w:val="single" w:sz="8" w:color="DBDBDB"/>
            </w:tcBorders>
          </w:tcPr>
          <w:p>
            <w:pPr>
              <w:spacing w:after="0"/>
              <w:rPr>
                <w:sz w:val="2"/>
                <w:szCs w:val="2"/>
                <w:color w:val="auto"/>
              </w:rPr>
            </w:pPr>
          </w:p>
        </w:tc>
        <w:tc>
          <w:tcPr>
            <w:tcW w:w="288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4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10,138</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1,264,817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jc w:val="both"/>
        <w:ind w:left="80" w:hanging="72"/>
        <w:spacing w:after="0" w:line="210" w:lineRule="auto"/>
        <w:tabs>
          <w:tab w:leader="none" w:pos="73" w:val="left"/>
        </w:tabs>
        <w:numPr>
          <w:ilvl w:val="0"/>
          <w:numId w:val="5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share amounts for the NEOs represent the maximum award levels at 200% for the 2024-2026 and 2025-2027 performance periods and are as follows: Householder - 34,990 and 35,054, Cooper - 12,224 and 10,256, Moriarty - 11,508 and 9,660, Sylvester - 6,606 and 6,810, and Webber - 5,448 and 4,690. The number of actual performance shares to be earned will depend on the actual performance for the applicable performance period.</w:t>
      </w:r>
    </w:p>
    <w:p>
      <w:pPr>
        <w:spacing w:after="0" w:line="13" w:lineRule="exact"/>
        <w:rPr>
          <w:sz w:val="20"/>
          <w:szCs w:val="20"/>
          <w:color w:val="auto"/>
        </w:rPr>
      </w:pPr>
    </w:p>
    <w:p>
      <w:pPr>
        <w:jc w:val="both"/>
        <w:ind w:left="80" w:hanging="72"/>
        <w:spacing w:after="0" w:line="210" w:lineRule="auto"/>
        <w:tabs>
          <w:tab w:leader="none" w:pos="73" w:val="left"/>
        </w:tabs>
        <w:numPr>
          <w:ilvl w:val="0"/>
          <w:numId w:val="5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market value represents the unearned shares multiplied by $124.76, the closing market price per share of the Company's common stock on December 31, 2025, the last business day of 2025. These shares will be earned to the extent that certain performance targets are achieved by the NEOs for the applicable performance periods. Award levels for the equity awards granted in 2025 are shown in the Grants of Plan-Based Awards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2021, we formally terminated the Company's qualified defined benefit Pension Plan. We maintain an excess, non-qualified Supplemental Executive Retirement Pension Plan ("Pension SERP") sponsored by the Company of which none of the NEO's are participants. The Company's unfunded Pension SERP was frozen as of January 1, 2005.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Non-Qualified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Chesapeake Utilities sponsors the NQDC for all officers and directors. The NQDC Plan is informally funded in a Rabbi Trust. The NQDC Plan allows:</w:t>
      </w:r>
    </w:p>
    <w:p>
      <w:pPr>
        <w:spacing w:after="0" w:line="158" w:lineRule="exact"/>
        <w:rPr>
          <w:sz w:val="20"/>
          <w:szCs w:val="20"/>
          <w:color w:val="auto"/>
        </w:rPr>
      </w:pPr>
    </w:p>
    <w:p>
      <w:pPr>
        <w:jc w:val="both"/>
        <w:ind w:left="340" w:hanging="251"/>
        <w:spacing w:after="0" w:line="266"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may defer any percentage of their performance-based stock awards (excluding any required withholdings). Additionally, non-management directors can elect to defer any percentage of their stock retainers. Participants are entitled to deferred stock units for the performance-based shares and stock retainers. Dividends are paid on the deferred stock units in the same proportion and amount as dividends on the Company's common stock. These dividends are then reinvested into additional deferred stock units. When distributed to participants, the deferred stock units will be settled on a one-for-one basis in shares of the Company's common stock. Deferrals of performance-based stock awards are not eligible for Company matching and discretionary employer contributions.</w:t>
      </w:r>
    </w:p>
    <w:p>
      <w:pPr>
        <w:spacing w:after="0" w:line="122" w:lineRule="exact"/>
        <w:rPr>
          <w:rFonts w:ascii="Times New Roman" w:cs="Times New Roman" w:eastAsia="Times New Roman" w:hAnsi="Times New Roman"/>
          <w:sz w:val="18"/>
          <w:szCs w:val="18"/>
          <w:color w:val="auto"/>
        </w:rPr>
      </w:pPr>
    </w:p>
    <w:p>
      <w:pPr>
        <w:jc w:val="both"/>
        <w:ind w:left="340" w:hanging="251"/>
        <w:spacing w:after="0" w:line="266"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may also defer a specified percentage (up to 80%) of their eligible cash compensation to the NQDC Plan. Additionally, non-management directors could elect to defer any percentage of their Board and/or Committee cash retainers. The Company matches NEO deferrals (up to 6% of eligible compensation) provided there is no duplication of matching in the Retirement Savings Plan. We may also make discretionary contributions to the NEOs. Discretionary employer contributions are made to applicable NEOs during the years discretionary employer contributions are made to the Retirement Savings Plan, for compensation that exceeds the IRS limits applicable to the qualified plan. Participants may allocate their deferrals and the Company's contributions among the same mutual fund choices available to all employees under the Retirement Savings Plan.</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NQDC Plan is required to comply with Internal Revenue Code Section 409A and procedures established by the Compensation Committee. The requirements include advance elections of deferral amounts. Additionally, participants must select a distribution date and form of distribution at the time of the deferral election. Distributions can be made in a single payment or in annual installments over 2-15 years (prior to January 1, 2014, installments were allowed over 5 or 10 years). A NEO will not be entitled to receive any payments until six months after the NEO's date of separation, except under certain circumstances. Payments to the participant may be accelerated in the event of death, disability, change in control, or an unforeseeable emergency. Participants will be individually responsible for any tax obligations related to deferring compensation under the NQDC Plan. Distributions of deferrals of cash compensation will be paid in cash, while distributions of deferred stock units will be paid in common stock.</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43" w:name="page44"/>
    <w:bookmarkEnd w:id="43"/>
    <w:p>
      <w:pPr>
        <w:spacing w:after="0" w:line="297" w:lineRule="auto"/>
        <w:rPr>
          <w:sz w:val="20"/>
          <w:szCs w:val="20"/>
          <w:color w:val="auto"/>
        </w:rPr>
      </w:pPr>
      <w:r>
        <w:rPr>
          <w:rFonts w:ascii="Times New Roman" w:cs="Times New Roman" w:eastAsia="Times New Roman" w:hAnsi="Times New Roman"/>
          <w:sz w:val="18"/>
          <w:szCs w:val="18"/>
          <w:color w:val="auto"/>
        </w:rPr>
        <w:t>Each NEO was eligible to participate in the NQDC Plan during 2025. The following table reflects the aggregate balance of non-qualified deferred compensation for each NEO.</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THE 2025 FISCAL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vMerge w:val="restart"/>
          </w:tcPr>
          <w:p>
            <w:pPr>
              <w:jc w:val="center"/>
              <w:ind w:right="314"/>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380" w:type="dxa"/>
            <w:vAlign w:val="bottom"/>
          </w:tcPr>
          <w:p>
            <w:pPr>
              <w:spacing w:after="0"/>
              <w:rPr>
                <w:sz w:val="15"/>
                <w:szCs w:val="15"/>
                <w:color w:val="auto"/>
              </w:rPr>
            </w:pPr>
          </w:p>
        </w:tc>
        <w:tc>
          <w:tcPr>
            <w:tcW w:w="1300" w:type="dxa"/>
            <w:vAlign w:val="bottom"/>
            <w:vMerge w:val="restart"/>
          </w:tcPr>
          <w:p>
            <w:pPr>
              <w:jc w:val="center"/>
              <w:ind w:right="295"/>
              <w:spacing w:after="0"/>
              <w:rPr>
                <w:sz w:val="20"/>
                <w:szCs w:val="20"/>
                <w:color w:val="auto"/>
              </w:rPr>
            </w:pPr>
            <w:r>
              <w:rPr>
                <w:rFonts w:ascii="Times New Roman" w:cs="Times New Roman" w:eastAsia="Times New Roman" w:hAnsi="Times New Roman"/>
                <w:sz w:val="15"/>
                <w:szCs w:val="15"/>
                <w:b w:val="1"/>
                <w:bCs w:val="1"/>
                <w:color w:val="auto"/>
              </w:rPr>
              <w:t>Registrant</w:t>
            </w:r>
          </w:p>
        </w:tc>
        <w:tc>
          <w:tcPr>
            <w:tcW w:w="400" w:type="dxa"/>
            <w:vAlign w:val="bottom"/>
          </w:tcPr>
          <w:p>
            <w:pPr>
              <w:spacing w:after="0"/>
              <w:rPr>
                <w:sz w:val="15"/>
                <w:szCs w:val="15"/>
                <w:color w:val="auto"/>
              </w:rPr>
            </w:pPr>
          </w:p>
        </w:tc>
        <w:tc>
          <w:tcPr>
            <w:tcW w:w="1300" w:type="dxa"/>
            <w:vAlign w:val="bottom"/>
            <w:vMerge w:val="restart"/>
          </w:tcPr>
          <w:p>
            <w:pPr>
              <w:jc w:val="center"/>
              <w:ind w:right="319"/>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380" w:type="dxa"/>
            <w:vAlign w:val="bottom"/>
          </w:tcPr>
          <w:p>
            <w:pPr>
              <w:spacing w:after="0"/>
              <w:rPr>
                <w:sz w:val="15"/>
                <w:szCs w:val="15"/>
                <w:color w:val="auto"/>
              </w:rPr>
            </w:pPr>
          </w:p>
        </w:tc>
        <w:tc>
          <w:tcPr>
            <w:tcW w:w="1260" w:type="dxa"/>
            <w:vAlign w:val="bottom"/>
          </w:tcPr>
          <w:p>
            <w:pPr>
              <w:jc w:val="center"/>
              <w:ind w:right="276"/>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420" w:type="dxa"/>
            <w:vAlign w:val="bottom"/>
          </w:tcPr>
          <w:p>
            <w:pPr>
              <w:spacing w:after="0"/>
              <w:rPr>
                <w:sz w:val="15"/>
                <w:szCs w:val="15"/>
                <w:color w:val="auto"/>
              </w:rPr>
            </w:pPr>
          </w:p>
        </w:tc>
        <w:tc>
          <w:tcPr>
            <w:tcW w:w="1900" w:type="dxa"/>
            <w:vAlign w:val="bottom"/>
          </w:tcPr>
          <w:p>
            <w:pPr>
              <w:jc w:val="center"/>
              <w:ind w:right="896"/>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center"/>
              <w:ind w:right="256"/>
              <w:spacing w:after="0" w:line="149" w:lineRule="exact"/>
              <w:rPr>
                <w:sz w:val="20"/>
                <w:szCs w:val="20"/>
                <w:color w:val="auto"/>
              </w:rPr>
            </w:pPr>
            <w:r>
              <w:rPr>
                <w:rFonts w:ascii="Times New Roman" w:cs="Times New Roman" w:eastAsia="Times New Roman" w:hAnsi="Times New Roman"/>
                <w:sz w:val="15"/>
                <w:szCs w:val="15"/>
                <w:b w:val="1"/>
                <w:bCs w:val="1"/>
                <w:color w:val="auto"/>
              </w:rPr>
              <w:t>Withdrawals/</w:t>
            </w:r>
          </w:p>
        </w:tc>
        <w:tc>
          <w:tcPr>
            <w:tcW w:w="420" w:type="dxa"/>
            <w:vAlign w:val="bottom"/>
          </w:tcPr>
          <w:p>
            <w:pPr>
              <w:spacing w:after="0"/>
              <w:rPr>
                <w:sz w:val="12"/>
                <w:szCs w:val="12"/>
                <w:color w:val="auto"/>
              </w:rPr>
            </w:pPr>
          </w:p>
        </w:tc>
        <w:tc>
          <w:tcPr>
            <w:tcW w:w="1900" w:type="dxa"/>
            <w:vAlign w:val="bottom"/>
          </w:tcPr>
          <w:p>
            <w:pPr>
              <w:jc w:val="center"/>
              <w:ind w:right="896"/>
              <w:spacing w:after="0" w:line="149"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0" w:type="dxa"/>
            <w:vAlign w:val="bottom"/>
          </w:tcPr>
          <w:p>
            <w:pPr>
              <w:spacing w:after="0"/>
              <w:rPr>
                <w:sz w:val="1"/>
                <w:szCs w:val="1"/>
                <w:color w:val="auto"/>
              </w:rPr>
            </w:pPr>
          </w:p>
        </w:tc>
      </w:tr>
      <w:tr>
        <w:trPr>
          <w:trHeight w:val="162"/>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760" w:type="dxa"/>
            <w:vAlign w:val="bottom"/>
            <w:gridSpan w:val="2"/>
          </w:tcPr>
          <w:p>
            <w:pPr>
              <w:jc w:val="center"/>
              <w:ind w:left="112"/>
              <w:spacing w:after="0" w:line="162" w:lineRule="exact"/>
              <w:rPr>
                <w:sz w:val="20"/>
                <w:szCs w:val="20"/>
                <w:color w:val="auto"/>
              </w:rPr>
            </w:pPr>
            <w:r>
              <w:rPr>
                <w:rFonts w:ascii="Times New Roman" w:cs="Times New Roman" w:eastAsia="Times New Roman" w:hAnsi="Times New Roman"/>
                <w:sz w:val="15"/>
                <w:szCs w:val="15"/>
                <w:b w:val="1"/>
                <w:bCs w:val="1"/>
                <w:color w:val="auto"/>
              </w:rPr>
              <w:t>Contributions</w:t>
            </w:r>
          </w:p>
        </w:tc>
        <w:tc>
          <w:tcPr>
            <w:tcW w:w="380" w:type="dxa"/>
            <w:vAlign w:val="bottom"/>
          </w:tcPr>
          <w:p>
            <w:pPr>
              <w:spacing w:after="0"/>
              <w:rPr>
                <w:sz w:val="14"/>
                <w:szCs w:val="14"/>
                <w:color w:val="auto"/>
              </w:rPr>
            </w:pPr>
          </w:p>
        </w:tc>
        <w:tc>
          <w:tcPr>
            <w:tcW w:w="1300" w:type="dxa"/>
            <w:vAlign w:val="bottom"/>
          </w:tcPr>
          <w:p>
            <w:pPr>
              <w:jc w:val="center"/>
              <w:ind w:right="295"/>
              <w:spacing w:after="0" w:line="162" w:lineRule="exact"/>
              <w:rPr>
                <w:sz w:val="20"/>
                <w:szCs w:val="20"/>
                <w:color w:val="auto"/>
              </w:rPr>
            </w:pPr>
            <w:r>
              <w:rPr>
                <w:rFonts w:ascii="Times New Roman" w:cs="Times New Roman" w:eastAsia="Times New Roman" w:hAnsi="Times New Roman"/>
                <w:sz w:val="15"/>
                <w:szCs w:val="15"/>
                <w:b w:val="1"/>
                <w:bCs w:val="1"/>
                <w:color w:val="auto"/>
              </w:rPr>
              <w:t>Contributions</w:t>
            </w:r>
          </w:p>
        </w:tc>
        <w:tc>
          <w:tcPr>
            <w:tcW w:w="400" w:type="dxa"/>
            <w:vAlign w:val="bottom"/>
          </w:tcPr>
          <w:p>
            <w:pPr>
              <w:spacing w:after="0"/>
              <w:rPr>
                <w:sz w:val="14"/>
                <w:szCs w:val="14"/>
                <w:color w:val="auto"/>
              </w:rPr>
            </w:pPr>
          </w:p>
        </w:tc>
        <w:tc>
          <w:tcPr>
            <w:tcW w:w="1300" w:type="dxa"/>
            <w:vAlign w:val="bottom"/>
          </w:tcPr>
          <w:p>
            <w:pPr>
              <w:jc w:val="center"/>
              <w:ind w:right="339"/>
              <w:spacing w:after="0" w:line="162"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380" w:type="dxa"/>
            <w:vAlign w:val="bottom"/>
          </w:tcPr>
          <w:p>
            <w:pPr>
              <w:spacing w:after="0"/>
              <w:rPr>
                <w:sz w:val="14"/>
                <w:szCs w:val="14"/>
                <w:color w:val="auto"/>
              </w:rPr>
            </w:pPr>
          </w:p>
        </w:tc>
        <w:tc>
          <w:tcPr>
            <w:tcW w:w="1260" w:type="dxa"/>
            <w:vAlign w:val="bottom"/>
          </w:tcPr>
          <w:p>
            <w:pPr>
              <w:jc w:val="center"/>
              <w:ind w:right="276"/>
              <w:spacing w:after="0" w:line="162" w:lineRule="exact"/>
              <w:rPr>
                <w:sz w:val="20"/>
                <w:szCs w:val="20"/>
                <w:color w:val="auto"/>
              </w:rPr>
            </w:pPr>
            <w:r>
              <w:rPr>
                <w:rFonts w:ascii="Times New Roman" w:cs="Times New Roman" w:eastAsia="Times New Roman" w:hAnsi="Times New Roman"/>
                <w:sz w:val="15"/>
                <w:szCs w:val="15"/>
                <w:b w:val="1"/>
                <w:bCs w:val="1"/>
                <w:color w:val="auto"/>
              </w:rPr>
              <w:t>Distributions</w:t>
            </w:r>
          </w:p>
        </w:tc>
        <w:tc>
          <w:tcPr>
            <w:tcW w:w="420" w:type="dxa"/>
            <w:vAlign w:val="bottom"/>
          </w:tcPr>
          <w:p>
            <w:pPr>
              <w:spacing w:after="0"/>
              <w:rPr>
                <w:sz w:val="14"/>
                <w:szCs w:val="14"/>
                <w:color w:val="auto"/>
              </w:rPr>
            </w:pPr>
          </w:p>
        </w:tc>
        <w:tc>
          <w:tcPr>
            <w:tcW w:w="1900" w:type="dxa"/>
            <w:vAlign w:val="bottom"/>
          </w:tcPr>
          <w:p>
            <w:pPr>
              <w:jc w:val="center"/>
              <w:ind w:right="896"/>
              <w:spacing w:after="0" w:line="162"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B6B6B6"/>
            </w:tcBorders>
            <w:vMerge w:val="continue"/>
          </w:tcPr>
          <w:p>
            <w:pPr>
              <w:spacing w:after="0"/>
              <w:rPr>
                <w:sz w:val="18"/>
                <w:szCs w:val="18"/>
                <w:color w:val="auto"/>
              </w:rPr>
            </w:pPr>
          </w:p>
        </w:tc>
        <w:tc>
          <w:tcPr>
            <w:tcW w:w="600" w:type="dxa"/>
            <w:vAlign w:val="bottom"/>
            <w:tcBorders>
              <w:bottom w:val="single" w:sz="8" w:color="B6B6B6"/>
            </w:tcBorders>
          </w:tcPr>
          <w:p>
            <w:pPr>
              <w:spacing w:after="0"/>
              <w:rPr>
                <w:sz w:val="18"/>
                <w:szCs w:val="18"/>
                <w:color w:val="auto"/>
              </w:rPr>
            </w:pPr>
          </w:p>
        </w:tc>
        <w:tc>
          <w:tcPr>
            <w:tcW w:w="1160" w:type="dxa"/>
            <w:vAlign w:val="bottom"/>
            <w:tcBorders>
              <w:bottom w:val="single" w:sz="8" w:color="B6B6B6"/>
            </w:tcBorders>
          </w:tcPr>
          <w:p>
            <w:pPr>
              <w:jc w:val="center"/>
              <w:ind w:right="294"/>
              <w:spacing w:after="0"/>
              <w:rPr>
                <w:sz w:val="20"/>
                <w:szCs w:val="20"/>
                <w:color w:val="auto"/>
              </w:rPr>
            </w:pPr>
            <w:r>
              <w:rPr>
                <w:rFonts w:ascii="Times New Roman" w:cs="Times New Roman" w:eastAsia="Times New Roman" w:hAnsi="Times New Roman"/>
                <w:sz w:val="15"/>
                <w:szCs w:val="15"/>
                <w:b w:val="1"/>
                <w:bCs w:val="1"/>
                <w:color w:val="auto"/>
                <w:w w:val="99"/>
              </w:rPr>
              <w:t>in 2025</w:t>
            </w:r>
          </w:p>
        </w:tc>
        <w:tc>
          <w:tcPr>
            <w:tcW w:w="380" w:type="dxa"/>
            <w:vAlign w:val="bottom"/>
            <w:tcBorders>
              <w:bottom w:val="single" w:sz="8" w:color="B6B6B6"/>
            </w:tcBorders>
          </w:tcPr>
          <w:p>
            <w:pPr>
              <w:spacing w:after="0"/>
              <w:rPr>
                <w:sz w:val="18"/>
                <w:szCs w:val="18"/>
                <w:color w:val="auto"/>
              </w:rPr>
            </w:pPr>
          </w:p>
        </w:tc>
        <w:tc>
          <w:tcPr>
            <w:tcW w:w="1300" w:type="dxa"/>
            <w:vAlign w:val="bottom"/>
            <w:tcBorders>
              <w:bottom w:val="single" w:sz="8" w:color="B6B6B6"/>
            </w:tcBorders>
          </w:tcPr>
          <w:p>
            <w:pPr>
              <w:jc w:val="center"/>
              <w:ind w:right="295"/>
              <w:spacing w:after="0" w:line="203" w:lineRule="exact"/>
              <w:rPr>
                <w:sz w:val="20"/>
                <w:szCs w:val="20"/>
                <w:color w:val="auto"/>
              </w:rPr>
            </w:pPr>
            <w:r>
              <w:rPr>
                <w:rFonts w:ascii="Times New Roman" w:cs="Times New Roman" w:eastAsia="Times New Roman" w:hAnsi="Times New Roman"/>
                <w:sz w:val="15"/>
                <w:szCs w:val="15"/>
                <w:b w:val="1"/>
                <w:bCs w:val="1"/>
                <w:color w:val="auto"/>
                <w:w w:val="98"/>
              </w:rPr>
              <w:t>in 2025</w:t>
            </w:r>
            <w:r>
              <w:rPr>
                <w:rFonts w:ascii="Times New Roman" w:cs="Times New Roman" w:eastAsia="Times New Roman" w:hAnsi="Times New Roman"/>
                <w:sz w:val="19"/>
                <w:szCs w:val="19"/>
                <w:b w:val="1"/>
                <w:bCs w:val="1"/>
                <w:color w:val="auto"/>
                <w:w w:val="98"/>
                <w:vertAlign w:val="superscript"/>
              </w:rPr>
              <w:t>(1)</w:t>
            </w:r>
          </w:p>
        </w:tc>
        <w:tc>
          <w:tcPr>
            <w:tcW w:w="400" w:type="dxa"/>
            <w:vAlign w:val="bottom"/>
            <w:tcBorders>
              <w:bottom w:val="single" w:sz="8" w:color="B6B6B6"/>
            </w:tcBorders>
          </w:tcPr>
          <w:p>
            <w:pPr>
              <w:spacing w:after="0"/>
              <w:rPr>
                <w:sz w:val="18"/>
                <w:szCs w:val="18"/>
                <w:color w:val="auto"/>
              </w:rPr>
            </w:pPr>
          </w:p>
        </w:tc>
        <w:tc>
          <w:tcPr>
            <w:tcW w:w="1300" w:type="dxa"/>
            <w:vAlign w:val="bottom"/>
            <w:tcBorders>
              <w:bottom w:val="single" w:sz="8" w:color="B6B6B6"/>
            </w:tcBorders>
          </w:tcPr>
          <w:p>
            <w:pPr>
              <w:jc w:val="center"/>
              <w:ind w:right="31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in 2025</w:t>
            </w:r>
            <w:r>
              <w:rPr>
                <w:rFonts w:ascii="Times New Roman" w:cs="Times New Roman" w:eastAsia="Times New Roman" w:hAnsi="Times New Roman"/>
                <w:sz w:val="9"/>
                <w:szCs w:val="9"/>
                <w:b w:val="1"/>
                <w:bCs w:val="1"/>
                <w:color w:val="auto"/>
              </w:rPr>
              <w:t>(2)(3)</w:t>
            </w:r>
          </w:p>
        </w:tc>
        <w:tc>
          <w:tcPr>
            <w:tcW w:w="380" w:type="dxa"/>
            <w:vAlign w:val="bottom"/>
            <w:tcBorders>
              <w:bottom w:val="single" w:sz="8" w:color="B6B6B6"/>
            </w:tcBorders>
          </w:tcPr>
          <w:p>
            <w:pPr>
              <w:spacing w:after="0"/>
              <w:rPr>
                <w:sz w:val="18"/>
                <w:szCs w:val="18"/>
                <w:color w:val="auto"/>
              </w:rPr>
            </w:pPr>
          </w:p>
        </w:tc>
        <w:tc>
          <w:tcPr>
            <w:tcW w:w="1260" w:type="dxa"/>
            <w:vAlign w:val="bottom"/>
            <w:tcBorders>
              <w:bottom w:val="single" w:sz="8" w:color="B6B6B6"/>
            </w:tcBorders>
          </w:tcPr>
          <w:p>
            <w:pPr>
              <w:jc w:val="center"/>
              <w:ind w:right="256"/>
              <w:spacing w:after="0"/>
              <w:rPr>
                <w:sz w:val="20"/>
                <w:szCs w:val="20"/>
                <w:color w:val="auto"/>
              </w:rPr>
            </w:pPr>
            <w:r>
              <w:rPr>
                <w:rFonts w:ascii="Times New Roman" w:cs="Times New Roman" w:eastAsia="Times New Roman" w:hAnsi="Times New Roman"/>
                <w:sz w:val="15"/>
                <w:szCs w:val="15"/>
                <w:b w:val="1"/>
                <w:bCs w:val="1"/>
                <w:color w:val="auto"/>
              </w:rPr>
              <w:t>in 2025</w:t>
            </w:r>
          </w:p>
        </w:tc>
        <w:tc>
          <w:tcPr>
            <w:tcW w:w="420" w:type="dxa"/>
            <w:vAlign w:val="bottom"/>
            <w:tcBorders>
              <w:bottom w:val="single" w:sz="8" w:color="B6B6B6"/>
            </w:tcBorders>
          </w:tcPr>
          <w:p>
            <w:pPr>
              <w:spacing w:after="0"/>
              <w:rPr>
                <w:sz w:val="18"/>
                <w:szCs w:val="18"/>
                <w:color w:val="auto"/>
              </w:rPr>
            </w:pPr>
          </w:p>
        </w:tc>
        <w:tc>
          <w:tcPr>
            <w:tcW w:w="1900" w:type="dxa"/>
            <w:vAlign w:val="bottom"/>
            <w:tcBorders>
              <w:bottom w:val="single" w:sz="8" w:color="B6B6B6"/>
            </w:tcBorders>
          </w:tcPr>
          <w:p>
            <w:pPr>
              <w:jc w:val="center"/>
              <w:ind w:right="896"/>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4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1,453,226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106,505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635,871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(14,399)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7,918,819</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BDBDB"/>
            </w:tcBorders>
          </w:tcPr>
          <w:p>
            <w:pPr>
              <w:spacing w:after="0"/>
              <w:rPr>
                <w:sz w:val="2"/>
                <w:szCs w:val="2"/>
                <w:color w:val="auto"/>
              </w:rPr>
            </w:pPr>
          </w:p>
        </w:tc>
        <w:tc>
          <w:tcPr>
            <w:tcW w:w="60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c>
          <w:tcPr>
            <w:tcW w:w="19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274,046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436,080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(138,899)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5,852,663</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BDBDB"/>
            </w:tcBorders>
          </w:tcPr>
          <w:p>
            <w:pPr>
              <w:spacing w:after="0"/>
              <w:rPr>
                <w:sz w:val="2"/>
                <w:szCs w:val="2"/>
                <w:color w:val="auto"/>
              </w:rPr>
            </w:pPr>
          </w:p>
        </w:tc>
        <w:tc>
          <w:tcPr>
            <w:tcW w:w="600" w:type="dxa"/>
            <w:vAlign w:val="bottom"/>
            <w:tcBorders>
              <w:bottom w:val="single" w:sz="8" w:color="DBDBDB"/>
            </w:tcBorders>
          </w:tcPr>
          <w:p>
            <w:pPr>
              <w:spacing w:after="0"/>
              <w:rPr>
                <w:sz w:val="2"/>
                <w:szCs w:val="2"/>
                <w:color w:val="auto"/>
              </w:rPr>
            </w:pPr>
          </w:p>
        </w:tc>
        <w:tc>
          <w:tcPr>
            <w:tcW w:w="1160" w:type="dxa"/>
            <w:vAlign w:val="bottom"/>
            <w:tcBorders>
              <w:bottom w:val="single" w:sz="8" w:color="DDDDDD"/>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DDDDD"/>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c>
          <w:tcPr>
            <w:tcW w:w="190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112,393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1,883,662</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tcBorders>
          </w:tcPr>
          <w:p>
            <w:pPr>
              <w:spacing w:after="0"/>
              <w:rPr>
                <w:sz w:val="2"/>
                <w:szCs w:val="2"/>
                <w:color w:val="auto"/>
              </w:rPr>
            </w:pPr>
          </w:p>
        </w:tc>
        <w:tc>
          <w:tcPr>
            <w:tcW w:w="600" w:type="dxa"/>
            <w:vAlign w:val="bottom"/>
            <w:tcBorders>
              <w:bottom w:val="single" w:sz="8" w:color="DDDDDD"/>
            </w:tcBorders>
          </w:tcPr>
          <w:p>
            <w:pPr>
              <w:spacing w:after="0"/>
              <w:rPr>
                <w:sz w:val="2"/>
                <w:szCs w:val="2"/>
                <w:color w:val="auto"/>
              </w:rPr>
            </w:pPr>
          </w:p>
        </w:tc>
        <w:tc>
          <w:tcPr>
            <w:tcW w:w="116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3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30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420" w:type="dxa"/>
            <w:vAlign w:val="bottom"/>
            <w:tcBorders>
              <w:bottom w:val="single" w:sz="8" w:color="DDDDDD"/>
            </w:tcBorders>
          </w:tcPr>
          <w:p>
            <w:pPr>
              <w:spacing w:after="0"/>
              <w:rPr>
                <w:sz w:val="2"/>
                <w:szCs w:val="2"/>
                <w:color w:val="auto"/>
              </w:rPr>
            </w:pPr>
          </w:p>
        </w:tc>
        <w:tc>
          <w:tcPr>
            <w:tcW w:w="19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214,341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13,838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67,295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1,392,066</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BDBDB"/>
            </w:tcBorders>
          </w:tcPr>
          <w:p>
            <w:pPr>
              <w:spacing w:after="0"/>
              <w:rPr>
                <w:sz w:val="2"/>
                <w:szCs w:val="2"/>
                <w:color w:val="auto"/>
              </w:rPr>
            </w:pPr>
          </w:p>
        </w:tc>
        <w:tc>
          <w:tcPr>
            <w:tcW w:w="600" w:type="dxa"/>
            <w:vAlign w:val="bottom"/>
            <w:tcBorders>
              <w:bottom w:val="single" w:sz="8" w:color="DBDBDB"/>
            </w:tcBorders>
          </w:tcPr>
          <w:p>
            <w:pPr>
              <w:spacing w:after="0"/>
              <w:rPr>
                <w:sz w:val="2"/>
                <w:szCs w:val="2"/>
                <w:color w:val="auto"/>
              </w:rPr>
            </w:pPr>
          </w:p>
        </w:tc>
        <w:tc>
          <w:tcPr>
            <w:tcW w:w="1160" w:type="dxa"/>
            <w:vAlign w:val="bottom"/>
            <w:tcBorders>
              <w:bottom w:val="single" w:sz="8" w:color="DBDBDB"/>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30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300" w:type="dxa"/>
            <w:vAlign w:val="bottom"/>
            <w:tcBorders>
              <w:bottom w:val="single" w:sz="8" w:color="DDDDDD"/>
            </w:tcBorders>
          </w:tcPr>
          <w:p>
            <w:pPr>
              <w:spacing w:after="0"/>
              <w:rPr>
                <w:sz w:val="2"/>
                <w:szCs w:val="2"/>
                <w:color w:val="auto"/>
              </w:rPr>
            </w:pPr>
          </w:p>
        </w:tc>
        <w:tc>
          <w:tcPr>
            <w:tcW w:w="380" w:type="dxa"/>
            <w:vAlign w:val="bottom"/>
            <w:tcBorders>
              <w:bottom w:val="single" w:sz="8" w:color="DBDBDB"/>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420" w:type="dxa"/>
            <w:vAlign w:val="bottom"/>
            <w:tcBorders>
              <w:bottom w:val="single" w:sz="8" w:color="DBDBDB"/>
            </w:tcBorders>
          </w:tcPr>
          <w:p>
            <w:pPr>
              <w:spacing w:after="0"/>
              <w:rPr>
                <w:sz w:val="2"/>
                <w:szCs w:val="2"/>
                <w:color w:val="auto"/>
              </w:rPr>
            </w:pPr>
          </w:p>
        </w:tc>
        <w:tc>
          <w:tcPr>
            <w:tcW w:w="19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480,572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16,003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238,347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2,941,214</w:t>
            </w:r>
          </w:p>
        </w:tc>
        <w:tc>
          <w:tcPr>
            <w:tcW w:w="0" w:type="dxa"/>
            <w:vAlign w:val="bottom"/>
          </w:tcPr>
          <w:p>
            <w:pPr>
              <w:spacing w:after="0"/>
              <w:rPr>
                <w:sz w:val="1"/>
                <w:szCs w:val="1"/>
                <w:color w:val="auto"/>
              </w:rPr>
            </w:pPr>
          </w:p>
        </w:tc>
      </w:tr>
      <w:tr>
        <w:trPr>
          <w:trHeight w:val="27"/>
        </w:trPr>
        <w:tc>
          <w:tcPr>
            <w:tcW w:w="2140" w:type="dxa"/>
            <w:vAlign w:val="bottom"/>
            <w:tcBorders>
              <w:bottom w:val="single" w:sz="8" w:color="DDDDDD"/>
            </w:tcBorders>
          </w:tcPr>
          <w:p>
            <w:pPr>
              <w:spacing w:after="0"/>
              <w:rPr>
                <w:sz w:val="2"/>
                <w:szCs w:val="2"/>
                <w:color w:val="auto"/>
              </w:rPr>
            </w:pPr>
          </w:p>
        </w:tc>
        <w:tc>
          <w:tcPr>
            <w:tcW w:w="600" w:type="dxa"/>
            <w:vAlign w:val="bottom"/>
            <w:tcBorders>
              <w:bottom w:val="single" w:sz="8" w:color="DDDDDD"/>
            </w:tcBorders>
          </w:tcPr>
          <w:p>
            <w:pPr>
              <w:spacing w:after="0"/>
              <w:rPr>
                <w:sz w:val="2"/>
                <w:szCs w:val="2"/>
                <w:color w:val="auto"/>
              </w:rPr>
            </w:pPr>
          </w:p>
        </w:tc>
        <w:tc>
          <w:tcPr>
            <w:tcW w:w="116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3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30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420" w:type="dxa"/>
            <w:vAlign w:val="bottom"/>
            <w:tcBorders>
              <w:bottom w:val="single" w:sz="8" w:color="DDDDDD"/>
            </w:tcBorders>
          </w:tcPr>
          <w:p>
            <w:pPr>
              <w:spacing w:after="0"/>
              <w:rPr>
                <w:sz w:val="2"/>
                <w:szCs w:val="2"/>
                <w:color w:val="auto"/>
              </w:rPr>
            </w:pPr>
          </w:p>
        </w:tc>
        <w:tc>
          <w:tcPr>
            <w:tcW w:w="19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0" w:hanging="72"/>
        <w:spacing w:after="0" w:line="252" w:lineRule="auto"/>
        <w:tabs>
          <w:tab w:leader="none" w:pos="73" w:val="left"/>
        </w:tabs>
        <w:numPr>
          <w:ilvl w:val="0"/>
          <w:numId w:val="5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Represents our matching and discretionary employer contributions associated with the NQDC Plan. These dollars are included in the All Other Compensation column of the Summary Compensation Table.</w:t>
      </w:r>
    </w:p>
    <w:p>
      <w:pPr>
        <w:spacing w:after="0" w:line="1" w:lineRule="exact"/>
        <w:rPr>
          <w:sz w:val="20"/>
          <w:szCs w:val="20"/>
          <w:color w:val="auto"/>
        </w:rPr>
      </w:pPr>
    </w:p>
    <w:p>
      <w:pPr>
        <w:ind w:left="80" w:hanging="72"/>
        <w:spacing w:after="0" w:line="241" w:lineRule="auto"/>
        <w:tabs>
          <w:tab w:leader="none" w:pos="73" w:val="left"/>
        </w:tabs>
        <w:numPr>
          <w:ilvl w:val="0"/>
          <w:numId w:val="5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investment options available under the NQDC Plan are the same that are available to all employees under the Retirement Savings Plan. Accordingly, these amounts are not considered above-market or preferential earnings for purposes of, and are not included in, the 2025 Summary Compensation Table.</w:t>
      </w:r>
    </w:p>
    <w:p>
      <w:pPr>
        <w:spacing w:after="0" w:line="1" w:lineRule="exact"/>
        <w:rPr>
          <w:sz w:val="20"/>
          <w:szCs w:val="20"/>
          <w:color w:val="auto"/>
        </w:rPr>
      </w:pPr>
    </w:p>
    <w:p>
      <w:pPr>
        <w:ind w:left="80" w:hanging="72"/>
        <w:spacing w:after="0"/>
        <w:tabs>
          <w:tab w:leader="none" w:pos="80" w:val="left"/>
        </w:tabs>
        <w:numPr>
          <w:ilvl w:val="0"/>
          <w:numId w:val="5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Dividends on deferred stock units in the NQDC Plan are paid at the same rate as dividends on shares of the Company's common stock.</w:t>
      </w:r>
    </w:p>
    <w:p>
      <w:pPr>
        <w:spacing w:after="0" w:line="1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Those amounts, similar awards reported in the Summary Compensation Tables in prior years, and matching and discretionary employer contributions into the NQDC Plan that were reported in the Summary Compensation Tables in prior years under All Other Compensation, are included in the </w:t>
      </w:r>
      <w:r>
        <w:rPr>
          <w:rFonts w:ascii="Times New Roman" w:cs="Times New Roman" w:eastAsia="Times New Roman" w:hAnsi="Times New Roman"/>
          <w:sz w:val="18"/>
          <w:szCs w:val="18"/>
          <w:i w:val="1"/>
          <w:i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Balance at December 31, 2025 </w:t>
      </w:r>
      <w:r>
        <w:rPr>
          <w:rFonts w:ascii="Times New Roman" w:cs="Times New Roman" w:eastAsia="Times New Roman" w:hAnsi="Times New Roman"/>
          <w:sz w:val="18"/>
          <w:szCs w:val="18"/>
          <w:color w:val="auto"/>
        </w:rPr>
        <w:t>column and quantified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4100" w:type="dxa"/>
            <w:vAlign w:val="bottom"/>
            <w:gridSpan w:val="2"/>
          </w:tcPr>
          <w:p>
            <w:pPr>
              <w:jc w:val="center"/>
              <w:ind w:left="95"/>
              <w:spacing w:after="0"/>
              <w:rPr>
                <w:sz w:val="20"/>
                <w:szCs w:val="20"/>
                <w:color w:val="auto"/>
              </w:rPr>
            </w:pPr>
            <w:r>
              <w:rPr>
                <w:rFonts w:ascii="Times New Roman" w:cs="Times New Roman" w:eastAsia="Times New Roman" w:hAnsi="Times New Roman"/>
                <w:sz w:val="15"/>
                <w:szCs w:val="15"/>
                <w:b w:val="1"/>
                <w:bCs w:val="1"/>
                <w:color w:val="auto"/>
              </w:rPr>
              <w:t>Amount included in both Non-Qualified</w:t>
            </w:r>
          </w:p>
        </w:tc>
        <w:tc>
          <w:tcPr>
            <w:tcW w:w="4640" w:type="dxa"/>
            <w:vAlign w:val="bottom"/>
            <w:gridSpan w:val="2"/>
          </w:tcPr>
          <w:p>
            <w:pPr>
              <w:jc w:val="center"/>
              <w:ind w:left="215"/>
              <w:spacing w:after="0"/>
              <w:rPr>
                <w:sz w:val="20"/>
                <w:szCs w:val="20"/>
                <w:color w:val="auto"/>
              </w:rPr>
            </w:pPr>
            <w:r>
              <w:rPr>
                <w:rFonts w:ascii="Times New Roman" w:cs="Times New Roman" w:eastAsia="Times New Roman" w:hAnsi="Times New Roman"/>
                <w:sz w:val="15"/>
                <w:szCs w:val="15"/>
                <w:b w:val="1"/>
                <w:bCs w:val="1"/>
                <w:color w:val="auto"/>
              </w:rPr>
              <w:t>Amount included in both Non-Qualified</w:t>
            </w:r>
          </w:p>
        </w:tc>
      </w:tr>
      <w:tr>
        <w:trPr>
          <w:trHeight w:val="176"/>
        </w:trPr>
        <w:tc>
          <w:tcPr>
            <w:tcW w:w="2500" w:type="dxa"/>
            <w:vAlign w:val="bottom"/>
          </w:tcPr>
          <w:p>
            <w:pPr>
              <w:spacing w:after="0"/>
              <w:rPr>
                <w:sz w:val="15"/>
                <w:szCs w:val="15"/>
                <w:color w:val="auto"/>
              </w:rPr>
            </w:pPr>
          </w:p>
        </w:tc>
        <w:tc>
          <w:tcPr>
            <w:tcW w:w="4100" w:type="dxa"/>
            <w:vAlign w:val="bottom"/>
            <w:gridSpan w:val="2"/>
          </w:tcPr>
          <w:p>
            <w:pPr>
              <w:jc w:val="center"/>
              <w:ind w:left="95"/>
              <w:spacing w:after="0"/>
              <w:rPr>
                <w:sz w:val="20"/>
                <w:szCs w:val="20"/>
                <w:color w:val="auto"/>
              </w:rPr>
            </w:pPr>
            <w:r>
              <w:rPr>
                <w:rFonts w:ascii="Times New Roman" w:cs="Times New Roman" w:eastAsia="Times New Roman" w:hAnsi="Times New Roman"/>
                <w:sz w:val="15"/>
                <w:szCs w:val="15"/>
                <w:b w:val="1"/>
                <w:bCs w:val="1"/>
                <w:color w:val="auto"/>
              </w:rPr>
              <w:t>Deferred Compensation Table and</w:t>
            </w:r>
          </w:p>
        </w:tc>
        <w:tc>
          <w:tcPr>
            <w:tcW w:w="4640" w:type="dxa"/>
            <w:vAlign w:val="bottom"/>
            <w:gridSpan w:val="2"/>
          </w:tcPr>
          <w:p>
            <w:pPr>
              <w:jc w:val="center"/>
              <w:ind w:left="175"/>
              <w:spacing w:after="0"/>
              <w:rPr>
                <w:sz w:val="20"/>
                <w:szCs w:val="20"/>
                <w:color w:val="auto"/>
              </w:rPr>
            </w:pPr>
            <w:r>
              <w:rPr>
                <w:rFonts w:ascii="Times New Roman" w:cs="Times New Roman" w:eastAsia="Times New Roman" w:hAnsi="Times New Roman"/>
                <w:sz w:val="15"/>
                <w:szCs w:val="15"/>
                <w:b w:val="1"/>
                <w:bCs w:val="1"/>
                <w:color w:val="auto"/>
              </w:rPr>
              <w:t>Deferred Compensation Table and previously reported</w:t>
            </w:r>
          </w:p>
        </w:tc>
      </w:tr>
      <w:tr>
        <w:trPr>
          <w:trHeight w:val="202"/>
        </w:trPr>
        <w:tc>
          <w:tcPr>
            <w:tcW w:w="2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4100" w:type="dxa"/>
            <w:vAlign w:val="bottom"/>
            <w:gridSpan w:val="2"/>
          </w:tcPr>
          <w:p>
            <w:pPr>
              <w:jc w:val="center"/>
              <w:ind w:left="95"/>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tc>
        <w:tc>
          <w:tcPr>
            <w:tcW w:w="4640" w:type="dxa"/>
            <w:vAlign w:val="bottom"/>
            <w:gridSpan w:val="2"/>
          </w:tcPr>
          <w:p>
            <w:pPr>
              <w:jc w:val="center"/>
              <w:ind w:left="215"/>
              <w:spacing w:after="0"/>
              <w:rPr>
                <w:sz w:val="20"/>
                <w:szCs w:val="20"/>
                <w:color w:val="auto"/>
              </w:rPr>
            </w:pPr>
            <w:r>
              <w:rPr>
                <w:rFonts w:ascii="Times New Roman" w:cs="Times New Roman" w:eastAsia="Times New Roman" w:hAnsi="Times New Roman"/>
                <w:sz w:val="15"/>
                <w:szCs w:val="15"/>
                <w:b w:val="1"/>
                <w:bCs w:val="1"/>
                <w:color w:val="auto"/>
              </w:rPr>
              <w:t>in Prior Years’ Summary Compensation Tables</w:t>
            </w:r>
          </w:p>
        </w:tc>
      </w:tr>
      <w:tr>
        <w:trPr>
          <w:trHeight w:val="35"/>
        </w:trPr>
        <w:tc>
          <w:tcPr>
            <w:tcW w:w="2500" w:type="dxa"/>
            <w:vAlign w:val="bottom"/>
            <w:tcBorders>
              <w:bottom w:val="single" w:sz="8" w:color="DBDBDB"/>
            </w:tcBorders>
          </w:tcPr>
          <w:p>
            <w:pPr>
              <w:spacing w:after="0"/>
              <w:rPr>
                <w:sz w:val="3"/>
                <w:szCs w:val="3"/>
                <w:color w:val="auto"/>
              </w:rPr>
            </w:pPr>
          </w:p>
        </w:tc>
        <w:tc>
          <w:tcPr>
            <w:tcW w:w="1780" w:type="dxa"/>
            <w:vAlign w:val="bottom"/>
            <w:tcBorders>
              <w:bottom w:val="single" w:sz="8" w:color="DBDBDB"/>
            </w:tcBorders>
          </w:tcPr>
          <w:p>
            <w:pPr>
              <w:spacing w:after="0"/>
              <w:rPr>
                <w:sz w:val="3"/>
                <w:szCs w:val="3"/>
                <w:color w:val="auto"/>
              </w:rPr>
            </w:pPr>
          </w:p>
        </w:tc>
        <w:tc>
          <w:tcPr>
            <w:tcW w:w="2320" w:type="dxa"/>
            <w:vAlign w:val="bottom"/>
            <w:tcBorders>
              <w:bottom w:val="single" w:sz="8" w:color="DBDBDB"/>
            </w:tcBorders>
          </w:tcPr>
          <w:p>
            <w:pPr>
              <w:spacing w:after="0"/>
              <w:rPr>
                <w:sz w:val="3"/>
                <w:szCs w:val="3"/>
                <w:color w:val="auto"/>
              </w:rPr>
            </w:pPr>
          </w:p>
        </w:tc>
        <w:tc>
          <w:tcPr>
            <w:tcW w:w="2160" w:type="dxa"/>
            <w:vAlign w:val="bottom"/>
            <w:tcBorders>
              <w:bottom w:val="single" w:sz="8" w:color="DBDBDB"/>
            </w:tcBorders>
          </w:tcPr>
          <w:p>
            <w:pPr>
              <w:spacing w:after="0"/>
              <w:rPr>
                <w:sz w:val="3"/>
                <w:szCs w:val="3"/>
                <w:color w:val="auto"/>
              </w:rPr>
            </w:pPr>
          </w:p>
        </w:tc>
        <w:tc>
          <w:tcPr>
            <w:tcW w:w="2480" w:type="dxa"/>
            <w:vAlign w:val="bottom"/>
            <w:tcBorders>
              <w:bottom w:val="single" w:sz="8" w:color="DBDBDB"/>
            </w:tcBorders>
          </w:tcPr>
          <w:p>
            <w:pPr>
              <w:spacing w:after="0"/>
              <w:rPr>
                <w:sz w:val="3"/>
                <w:szCs w:val="3"/>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M. Householder</w:t>
            </w:r>
          </w:p>
        </w:tc>
        <w:tc>
          <w:tcPr>
            <w:tcW w:w="1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1,559,731</w:t>
            </w: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3,466,726</w:t>
            </w:r>
          </w:p>
        </w:tc>
      </w:tr>
      <w:tr>
        <w:trPr>
          <w:trHeight w:val="27"/>
        </w:trPr>
        <w:tc>
          <w:tcPr>
            <w:tcW w:w="2500" w:type="dxa"/>
            <w:vAlign w:val="bottom"/>
            <w:tcBorders>
              <w:bottom w:val="single" w:sz="8" w:color="DDDDDD"/>
            </w:tcBorders>
          </w:tcPr>
          <w:p>
            <w:pPr>
              <w:spacing w:after="0"/>
              <w:rPr>
                <w:sz w:val="2"/>
                <w:szCs w:val="2"/>
                <w:color w:val="auto"/>
              </w:rPr>
            </w:pPr>
          </w:p>
        </w:tc>
        <w:tc>
          <w:tcPr>
            <w:tcW w:w="1780" w:type="dxa"/>
            <w:vAlign w:val="bottom"/>
            <w:tcBorders>
              <w:bottom w:val="single" w:sz="8" w:color="DDDDDD"/>
            </w:tcBorders>
          </w:tcPr>
          <w:p>
            <w:pPr>
              <w:spacing w:after="0"/>
              <w:rPr>
                <w:sz w:val="2"/>
                <w:szCs w:val="2"/>
                <w:color w:val="auto"/>
              </w:rPr>
            </w:pPr>
          </w:p>
        </w:tc>
        <w:tc>
          <w:tcPr>
            <w:tcW w:w="2320" w:type="dxa"/>
            <w:vAlign w:val="bottom"/>
            <w:tcBorders>
              <w:bottom w:val="single" w:sz="8" w:color="DDDDDD"/>
            </w:tcBorders>
          </w:tcPr>
          <w:p>
            <w:pPr>
              <w:spacing w:after="0"/>
              <w:rPr>
                <w:sz w:val="2"/>
                <w:szCs w:val="2"/>
                <w:color w:val="auto"/>
              </w:rPr>
            </w:pPr>
          </w:p>
        </w:tc>
        <w:tc>
          <w:tcPr>
            <w:tcW w:w="2160" w:type="dxa"/>
            <w:vAlign w:val="bottom"/>
            <w:tcBorders>
              <w:bottom w:val="single" w:sz="8" w:color="DDDDDD"/>
            </w:tcBorders>
          </w:tcPr>
          <w:p>
            <w:pPr>
              <w:spacing w:after="0"/>
              <w:rPr>
                <w:sz w:val="2"/>
                <w:szCs w:val="2"/>
                <w:color w:val="auto"/>
              </w:rPr>
            </w:pPr>
          </w:p>
        </w:tc>
        <w:tc>
          <w:tcPr>
            <w:tcW w:w="2480" w:type="dxa"/>
            <w:vAlign w:val="bottom"/>
            <w:tcBorders>
              <w:bottom w:val="single" w:sz="8" w:color="DDDDDD"/>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 W. Cooper</w:t>
            </w:r>
          </w:p>
        </w:tc>
        <w:tc>
          <w:tcPr>
            <w:tcW w:w="1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274,046</w:t>
            </w: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2,901,942</w:t>
            </w:r>
          </w:p>
        </w:tc>
      </w:tr>
      <w:tr>
        <w:trPr>
          <w:trHeight w:val="27"/>
        </w:trPr>
        <w:tc>
          <w:tcPr>
            <w:tcW w:w="2500" w:type="dxa"/>
            <w:vAlign w:val="bottom"/>
            <w:tcBorders>
              <w:bottom w:val="single" w:sz="8" w:color="DDDDDD"/>
            </w:tcBorders>
          </w:tcPr>
          <w:p>
            <w:pPr>
              <w:spacing w:after="0"/>
              <w:rPr>
                <w:sz w:val="2"/>
                <w:szCs w:val="2"/>
                <w:color w:val="auto"/>
              </w:rPr>
            </w:pPr>
          </w:p>
        </w:tc>
        <w:tc>
          <w:tcPr>
            <w:tcW w:w="1780" w:type="dxa"/>
            <w:vAlign w:val="bottom"/>
            <w:tcBorders>
              <w:bottom w:val="single" w:sz="8" w:color="DDDDDD"/>
            </w:tcBorders>
          </w:tcPr>
          <w:p>
            <w:pPr>
              <w:spacing w:after="0"/>
              <w:rPr>
                <w:sz w:val="2"/>
                <w:szCs w:val="2"/>
                <w:color w:val="auto"/>
              </w:rPr>
            </w:pPr>
          </w:p>
        </w:tc>
        <w:tc>
          <w:tcPr>
            <w:tcW w:w="2320" w:type="dxa"/>
            <w:vAlign w:val="bottom"/>
            <w:tcBorders>
              <w:bottom w:val="single" w:sz="8" w:color="DDDDDD"/>
            </w:tcBorders>
          </w:tcPr>
          <w:p>
            <w:pPr>
              <w:spacing w:after="0"/>
              <w:rPr>
                <w:sz w:val="2"/>
                <w:szCs w:val="2"/>
                <w:color w:val="auto"/>
              </w:rPr>
            </w:pPr>
          </w:p>
        </w:tc>
        <w:tc>
          <w:tcPr>
            <w:tcW w:w="2160" w:type="dxa"/>
            <w:vAlign w:val="bottom"/>
            <w:tcBorders>
              <w:bottom w:val="single" w:sz="8" w:color="DDDDDD"/>
            </w:tcBorders>
          </w:tcPr>
          <w:p>
            <w:pPr>
              <w:spacing w:after="0"/>
              <w:rPr>
                <w:sz w:val="2"/>
                <w:szCs w:val="2"/>
                <w:color w:val="auto"/>
              </w:rPr>
            </w:pPr>
          </w:p>
        </w:tc>
        <w:tc>
          <w:tcPr>
            <w:tcW w:w="2480" w:type="dxa"/>
            <w:vAlign w:val="bottom"/>
            <w:tcBorders>
              <w:bottom w:val="single" w:sz="8" w:color="DDDDDD"/>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Moriarty</w:t>
            </w:r>
          </w:p>
        </w:tc>
        <w:tc>
          <w:tcPr>
            <w:tcW w:w="1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1,342,991</w:t>
            </w:r>
          </w:p>
        </w:tc>
      </w:tr>
      <w:tr>
        <w:trPr>
          <w:trHeight w:val="27"/>
        </w:trPr>
        <w:tc>
          <w:tcPr>
            <w:tcW w:w="2500" w:type="dxa"/>
            <w:vAlign w:val="bottom"/>
            <w:tcBorders>
              <w:bottom w:val="single" w:sz="8" w:color="DDDDDD"/>
            </w:tcBorders>
          </w:tcPr>
          <w:p>
            <w:pPr>
              <w:spacing w:after="0"/>
              <w:rPr>
                <w:sz w:val="2"/>
                <w:szCs w:val="2"/>
                <w:color w:val="auto"/>
              </w:rPr>
            </w:pPr>
          </w:p>
        </w:tc>
        <w:tc>
          <w:tcPr>
            <w:tcW w:w="1780" w:type="dxa"/>
            <w:vAlign w:val="bottom"/>
            <w:tcBorders>
              <w:bottom w:val="single" w:sz="8" w:color="DDDDDD"/>
            </w:tcBorders>
          </w:tcPr>
          <w:p>
            <w:pPr>
              <w:spacing w:after="0"/>
              <w:rPr>
                <w:sz w:val="2"/>
                <w:szCs w:val="2"/>
                <w:color w:val="auto"/>
              </w:rPr>
            </w:pPr>
          </w:p>
        </w:tc>
        <w:tc>
          <w:tcPr>
            <w:tcW w:w="2320" w:type="dxa"/>
            <w:vAlign w:val="bottom"/>
            <w:tcBorders>
              <w:bottom w:val="single" w:sz="8" w:color="DDDDDD"/>
            </w:tcBorders>
          </w:tcPr>
          <w:p>
            <w:pPr>
              <w:spacing w:after="0"/>
              <w:rPr>
                <w:sz w:val="2"/>
                <w:szCs w:val="2"/>
                <w:color w:val="auto"/>
              </w:rPr>
            </w:pPr>
          </w:p>
        </w:tc>
        <w:tc>
          <w:tcPr>
            <w:tcW w:w="2160" w:type="dxa"/>
            <w:vAlign w:val="bottom"/>
            <w:tcBorders>
              <w:bottom w:val="single" w:sz="8" w:color="DDDDDD"/>
            </w:tcBorders>
          </w:tcPr>
          <w:p>
            <w:pPr>
              <w:spacing w:after="0"/>
              <w:rPr>
                <w:sz w:val="2"/>
                <w:szCs w:val="2"/>
                <w:color w:val="auto"/>
              </w:rPr>
            </w:pPr>
          </w:p>
        </w:tc>
        <w:tc>
          <w:tcPr>
            <w:tcW w:w="2480" w:type="dxa"/>
            <w:vAlign w:val="bottom"/>
            <w:tcBorders>
              <w:bottom w:val="single" w:sz="8" w:color="DDDDDD"/>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S. Sylvester</w:t>
            </w:r>
          </w:p>
        </w:tc>
        <w:tc>
          <w:tcPr>
            <w:tcW w:w="1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228,179</w:t>
            </w: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1,021,342</w:t>
            </w:r>
          </w:p>
        </w:tc>
      </w:tr>
      <w:tr>
        <w:trPr>
          <w:trHeight w:val="27"/>
        </w:trPr>
        <w:tc>
          <w:tcPr>
            <w:tcW w:w="2500" w:type="dxa"/>
            <w:vAlign w:val="bottom"/>
            <w:tcBorders>
              <w:bottom w:val="single" w:sz="8" w:color="DDDDDD"/>
            </w:tcBorders>
          </w:tcPr>
          <w:p>
            <w:pPr>
              <w:spacing w:after="0"/>
              <w:rPr>
                <w:sz w:val="2"/>
                <w:szCs w:val="2"/>
                <w:color w:val="auto"/>
              </w:rPr>
            </w:pPr>
          </w:p>
        </w:tc>
        <w:tc>
          <w:tcPr>
            <w:tcW w:w="1780" w:type="dxa"/>
            <w:vAlign w:val="bottom"/>
            <w:tcBorders>
              <w:bottom w:val="single" w:sz="8" w:color="DDDDDD"/>
            </w:tcBorders>
          </w:tcPr>
          <w:p>
            <w:pPr>
              <w:spacing w:after="0"/>
              <w:rPr>
                <w:sz w:val="2"/>
                <w:szCs w:val="2"/>
                <w:color w:val="auto"/>
              </w:rPr>
            </w:pPr>
          </w:p>
        </w:tc>
        <w:tc>
          <w:tcPr>
            <w:tcW w:w="2320" w:type="dxa"/>
            <w:vAlign w:val="bottom"/>
            <w:tcBorders>
              <w:bottom w:val="single" w:sz="8" w:color="DDDDDD"/>
            </w:tcBorders>
          </w:tcPr>
          <w:p>
            <w:pPr>
              <w:spacing w:after="0"/>
              <w:rPr>
                <w:sz w:val="2"/>
                <w:szCs w:val="2"/>
                <w:color w:val="auto"/>
              </w:rPr>
            </w:pPr>
          </w:p>
        </w:tc>
        <w:tc>
          <w:tcPr>
            <w:tcW w:w="2160" w:type="dxa"/>
            <w:vAlign w:val="bottom"/>
            <w:tcBorders>
              <w:bottom w:val="single" w:sz="8" w:color="DDDDDD"/>
            </w:tcBorders>
          </w:tcPr>
          <w:p>
            <w:pPr>
              <w:spacing w:after="0"/>
              <w:rPr>
                <w:sz w:val="2"/>
                <w:szCs w:val="2"/>
                <w:color w:val="auto"/>
              </w:rPr>
            </w:pPr>
          </w:p>
        </w:tc>
        <w:tc>
          <w:tcPr>
            <w:tcW w:w="2480" w:type="dxa"/>
            <w:vAlign w:val="bottom"/>
            <w:tcBorders>
              <w:bottom w:val="single" w:sz="8" w:color="DDDDDD"/>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J. Webber</w:t>
            </w:r>
          </w:p>
        </w:tc>
        <w:tc>
          <w:tcPr>
            <w:tcW w:w="1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496,575</w:t>
            </w: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1,282,651</w:t>
            </w:r>
          </w:p>
        </w:tc>
      </w:tr>
      <w:tr>
        <w:trPr>
          <w:trHeight w:val="27"/>
        </w:trPr>
        <w:tc>
          <w:tcPr>
            <w:tcW w:w="2500" w:type="dxa"/>
            <w:vAlign w:val="bottom"/>
            <w:tcBorders>
              <w:bottom w:val="single" w:sz="8" w:color="DDDDDD"/>
            </w:tcBorders>
          </w:tcPr>
          <w:p>
            <w:pPr>
              <w:spacing w:after="0"/>
              <w:rPr>
                <w:sz w:val="2"/>
                <w:szCs w:val="2"/>
                <w:color w:val="auto"/>
              </w:rPr>
            </w:pPr>
          </w:p>
        </w:tc>
        <w:tc>
          <w:tcPr>
            <w:tcW w:w="1780" w:type="dxa"/>
            <w:vAlign w:val="bottom"/>
            <w:tcBorders>
              <w:bottom w:val="single" w:sz="8" w:color="DDDDDD"/>
            </w:tcBorders>
          </w:tcPr>
          <w:p>
            <w:pPr>
              <w:spacing w:after="0"/>
              <w:rPr>
                <w:sz w:val="2"/>
                <w:szCs w:val="2"/>
                <w:color w:val="auto"/>
              </w:rPr>
            </w:pPr>
          </w:p>
        </w:tc>
        <w:tc>
          <w:tcPr>
            <w:tcW w:w="2320" w:type="dxa"/>
            <w:vAlign w:val="bottom"/>
            <w:tcBorders>
              <w:bottom w:val="single" w:sz="8" w:color="DDDDDD"/>
            </w:tcBorders>
          </w:tcPr>
          <w:p>
            <w:pPr>
              <w:spacing w:after="0"/>
              <w:rPr>
                <w:sz w:val="2"/>
                <w:szCs w:val="2"/>
                <w:color w:val="auto"/>
              </w:rPr>
            </w:pPr>
          </w:p>
        </w:tc>
        <w:tc>
          <w:tcPr>
            <w:tcW w:w="2160" w:type="dxa"/>
            <w:vAlign w:val="bottom"/>
            <w:tcBorders>
              <w:bottom w:val="single" w:sz="8" w:color="DDDDDD"/>
            </w:tcBorders>
          </w:tcPr>
          <w:p>
            <w:pPr>
              <w:spacing w:after="0"/>
              <w:rPr>
                <w:sz w:val="2"/>
                <w:szCs w:val="2"/>
                <w:color w:val="auto"/>
              </w:rPr>
            </w:pPr>
          </w:p>
        </w:tc>
        <w:tc>
          <w:tcPr>
            <w:tcW w:w="2480" w:type="dxa"/>
            <w:vAlign w:val="bottom"/>
            <w:tcBorders>
              <w:bottom w:val="single" w:sz="8" w:color="DDDDDD"/>
            </w:tcBorders>
          </w:tcPr>
          <w:p>
            <w:pPr>
              <w:spacing w:after="0"/>
              <w:rPr>
                <w:sz w:val="2"/>
                <w:szCs w:val="2"/>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Termination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As of January 1, 2020, Messrs. Householder, Moriarty, Sylvester and Webber and Ms. Cooper (each, an "NEO") were each a party to a written employment agreement that, pursuant to the terms hereof or a subsequent amendment, provided for a term that expired on December 31, 2021. On December 16, 2021, the Company and each of the NEOs executed a new written employment agreement providing for a term through December 31, 2022; provided that, in the absence of a Change of Control (as defined in the employment agreement), such term would automatically extend on a year to year basis thereafter unless, during the period beginning ninety (90) days prior and ending thirty (30) days prior to such date, either the Company or the applicable NEO gave notice to the other that the executive's employment agreement would not be renewed. Each NEO entered into an amendment to their respective employment agreements effective October 2, 2023 to further align the agreement with the clawback rules set forth in 17 C.F.R. §240.10D and Section 303A.14 of the NYSE Listed Company Manual. The following is a description of provisions contained in the employment agreements.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NEO may participate in all bonus, incentive compensation and performance-based compensation plans; all profit-sharing, savings and retirement benefit plans; all insurance, medical, health and welfare plans; all vacation and other employee fringe benefit plans; and other similar policies, plans or arrangements of the Company, all on a basis that is commensurate with the NEO's position and no less favorable than those generally applicable or made available to the other NEOs or other employees generally. Each NEO was also eligible for a short-term cash and long-term equity-based incentive award as determined on an annual basis by the Board or Compensation Committee, as applicable, in its discretion and in accordance with and subject to the terms of the 2015 Cash Plan and 2023 SICP, respectively.</w:t>
      </w:r>
    </w:p>
    <w:p>
      <w:pPr>
        <w:spacing w:after="0" w:line="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Each employment agreement contains a clawback provision that provides that all or any portion of an incentive award under the 2015 Cash Plan and 2023 SICP or any future arrangement established by the Company was subject to repayment by the NEO, if the award was calculated based upon the achievement of certain financial results or other performance metrics that, in either case, were subsequently found to be materially inaccurate for any reason (including, without limitation, by reason of a financial restatement,</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44" w:name="page45"/>
    <w:bookmarkEnd w:id="44"/>
    <w:p>
      <w:pPr>
        <w:jc w:val="both"/>
        <w:spacing w:after="0" w:line="270" w:lineRule="auto"/>
        <w:rPr>
          <w:sz w:val="20"/>
          <w:szCs w:val="20"/>
          <w:color w:val="auto"/>
        </w:rPr>
      </w:pPr>
      <w:r>
        <w:rPr>
          <w:rFonts w:ascii="Times New Roman" w:cs="Times New Roman" w:eastAsia="Times New Roman" w:hAnsi="Times New Roman"/>
          <w:sz w:val="18"/>
          <w:szCs w:val="18"/>
          <w:color w:val="auto"/>
        </w:rPr>
        <w:t>mistake in calculations, or other administrative error). If the Compensation Committee determined that the NEO engaged in misconduct, malfeasance or gross negligence in the performance of the NEO's duties that either caused or significantly contributed to the material inaccuracy of the financial statements or other performance metrics, there is no time limit on this right of recovery. In all other circumstances, the right of recovery is limited to three years after the date of receipt of each award. The right of recovery of payments automatically terminates upon a change in control except with respect to any right of recovery that had been asserted prior to such change in control.</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Each employment agreement contains covenants that protect our goodwill and are effective during the NEO's employment with us and after termination of the agreement. These covenants relate to confidentiality of information; non-solicitation of employees; non-solicitation of third parties; non-competition; post-termination cooperation; and non-disparagement. The non-solicitation and non-competition covenants remain effective for one year after the termination of an NEO’s employment. If the NEO resigns for reasons related to certain acts of the Company after a change in control, these covenants remain effective for fifteen months after the resignation. Payments upon termination (described below) are subject to compliance with these provisions and the execution and delivery (and non-revocation) of a release of claims against the Company and its officers, directors, employees and affiliates. In the event that a NEO did not comply with the provisions or did not deliver a release of claims, then payments upon termination would cease and any unpaid amounts would be forfeited.</w:t>
      </w:r>
    </w:p>
    <w:p>
      <w:pPr>
        <w:spacing w:after="0" w:line="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Payments Upon Termination or Death. </w:t>
      </w:r>
      <w:r>
        <w:rPr>
          <w:rFonts w:ascii="Times New Roman" w:cs="Times New Roman" w:eastAsia="Times New Roman" w:hAnsi="Times New Roman"/>
          <w:sz w:val="18"/>
          <w:szCs w:val="18"/>
          <w:color w:val="auto"/>
        </w:rPr>
        <w:t>Under the employment agreements, if the Company terminates a NEO's employment agreement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 other than the NEO's death or retirement or “for cause,” as specifically defined in such NEO's employment agreement, or elects to not renew the employment agreement other than due to the NEO's retirement, then the NEO would be entitled to receive, as severance compensation, their then monthly base compensation for one year after the termination date and, to the extent permissible, medical, prescription drug, vision and dental benefits for the severance period. Termination by the Company “for cause” or termination due to the death or resignation of the NEO generally does not entitle the NEO to any severance compensation or benefits but only to the payment of accrued amounts as yet unpaid. Termination “with cause” generally means termination by the Company as a result of (i) the NEO's conviction of a felony (or a guilty or no contest plea by the NEO with respect thereto); (ii) the NEO's willful or deliberate act of dishonesty resulting in or intended to result in material gain to the NEO at the Company's expense; (iii) the NEO's willful refusal to perform their duties and responsibilities to the Company, or to comply with any valid or legal directive by the Board or, in the case of NEOs other than Mr. Householder, the Chief Executive Officer; or (iv) certain conduct by the NEO that is materially injurious to the Company or a material violation of Company policies. Based upon a hypothetical termination date of December 31, 2025, and assuming the termination is “without cause,” the NEO (or their estate) would have received a severance benefit (described above) as follows: Jeffry M. Householder $880,000; Beth W. Cooper $515,000; James F. Moriarty $485,000; Jeffrey S. Sylvester $475,000; and Kevin J. Webber $368,000.</w:t>
      </w:r>
    </w:p>
    <w:p>
      <w:pPr>
        <w:spacing w:after="0" w:line="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of Employment Agreement and Potential Payments Upon a Change in Control. </w:t>
      </w:r>
      <w:r>
        <w:rPr>
          <w:rFonts w:ascii="Times New Roman" w:cs="Times New Roman" w:eastAsia="Times New Roman" w:hAnsi="Times New Roman"/>
          <w:sz w:val="18"/>
          <w:szCs w:val="18"/>
          <w:color w:val="auto"/>
        </w:rPr>
        <w:t>The employment agreements include provisions that are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help retain the NEOs in the event of a change in control of the Company. In accordance with the agreements, a change in control occurs upon one of several events involving the replacement of a majority of the members of our Board, the acquisition of ownership of significant percentages of our outstanding stock, or the acquisition of a significant portion of our assets.</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Upon a change in control, the term of the employment agreements shall automatically extend for a period of two years commencing on the date of the change in control. If a NEO's employment is terminated after a change in control and while the employment agreement is in effect by the Company “without cause,” as specifically defined in the employment agreement and as described herein, or by the NEO under certain specified circumstances ("good reason"), or he or she would be entitled to receive, in addition to the sum of all accrued but unpaid amounts due, a single lump sum payment in cash based on the sum of the following:</w:t>
      </w:r>
    </w:p>
    <w:p>
      <w:pPr>
        <w:spacing w:after="0" w:line="64" w:lineRule="exact"/>
        <w:rPr>
          <w:sz w:val="20"/>
          <w:szCs w:val="20"/>
          <w:color w:val="auto"/>
        </w:rPr>
      </w:pPr>
    </w:p>
    <w:p>
      <w:pPr>
        <w:ind w:left="400" w:hanging="311"/>
        <w:spacing w:after="0"/>
        <w:tabs>
          <w:tab w:leader="none" w:pos="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monthly base compensation multiplied by 24 (multiplied by 36 for the Chief Executive Officer);</w:t>
      </w:r>
    </w:p>
    <w:p>
      <w:pPr>
        <w:spacing w:after="0" w:line="90" w:lineRule="exact"/>
        <w:rPr>
          <w:rFonts w:ascii="Times New Roman" w:cs="Times New Roman" w:eastAsia="Times New Roman" w:hAnsi="Times New Roman"/>
          <w:sz w:val="18"/>
          <w:szCs w:val="18"/>
          <w:color w:val="auto"/>
        </w:rPr>
      </w:pPr>
    </w:p>
    <w:p>
      <w:pPr>
        <w:jc w:val="both"/>
        <w:ind w:left="420" w:hanging="331"/>
        <w:spacing w:after="0" w:line="281" w:lineRule="auto"/>
        <w:tabs>
          <w:tab w:leader="none" w:pos="4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of the Company's contributions to the Company's savings plans in respect of the NEO that were not vested on the day immediately prior to the termination date but that would have been vested if the NEO had been employed by the Company for the duration of the vesting period; and</w:t>
      </w:r>
    </w:p>
    <w:p>
      <w:pPr>
        <w:spacing w:after="0" w:line="28" w:lineRule="exact"/>
        <w:rPr>
          <w:rFonts w:ascii="Times New Roman" w:cs="Times New Roman" w:eastAsia="Times New Roman" w:hAnsi="Times New Roman"/>
          <w:sz w:val="18"/>
          <w:szCs w:val="18"/>
          <w:color w:val="auto"/>
        </w:rPr>
      </w:pPr>
    </w:p>
    <w:p>
      <w:pPr>
        <w:jc w:val="both"/>
        <w:ind w:left="420" w:hanging="331"/>
        <w:spacing w:after="0" w:line="274" w:lineRule="auto"/>
        <w:tabs>
          <w:tab w:leader="none" w:pos="4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of the annual aggregate benefits awarded to the NEO under all of the Company annual bonus programs in which the NEO was a participant in each of the three calendar years preceding the year in which the termination occurs multiplied by two (multiplied by three for the Chief Executive Officer).</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resignation by a NEO with "good reason" can occur when the Company changes the NEO's title/office as set forth in the employment agreement, fails to nominate the NEO for election to the Board if the NEO was a member immediately prior to a Change in Control, significantly changes the nature or scope of the NEO's position, authority, powers, functions, duties or responsibilities or reduces the NEO's, compensation or benefits, and does not cure the change after notice from the NEO, breaches any other material provision of the employment agreement and fails to cure the breach after notice from the NEO, or consolidation or merger of the Company or transfer of all or a significant portion of the Company's assets unless the successor assumes all of the Company's duties and responsibilities under the employment agreement. Upon a change in control, each NEO's monthly base compensation may</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18"/>
          <w:szCs w:val="18"/>
          <w:color w:val="auto"/>
        </w:rPr>
        <w:t>increase by such amounts as the Board may determine from time to time based, in part, on an annual review of the NEOs' compensation and performance. In no event would a NEO's base compensation be decreased. Each NEO would receive health and other insurance benefits for the remainder of the term of the NEO's employment agreement.</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each NEO's performance share agreements, as applicable, in the event of a change in control, the NEOs immediately earn all unearned performance shares at the target levels set forth in such agreements for the 2025 and 2024 Equity Incentive Awards. In addition, each NEO would receive any benefits that he or she otherwise would have been entitled to receive under our Retirement Savings Plan and NQDC Plan, as of the date of termination, although these benefits are not increased.</w:t>
      </w:r>
    </w:p>
    <w:p>
      <w:pPr>
        <w:spacing w:after="0" w:line="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Based upon a hypothetical termination date of December 31, 2025, under the terms and conditions of the employment agreements, estimated payments or benefits in connection with a change in control, using $124.76, the closing market price per share of our common stock on December 31, 2025, the last business day of 2025, would have been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NEO PAYMENTS OR BENEFITS IN CONNECTION WITH A CHANGE IN CONTROL</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9"/>
        </w:trPr>
        <w:tc>
          <w:tcPr>
            <w:tcW w:w="3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b w:val="1"/>
                <w:bCs w:val="1"/>
                <w:color w:val="auto"/>
              </w:rPr>
              <w:t>Jeffry</w:t>
            </w:r>
          </w:p>
        </w:tc>
        <w:tc>
          <w:tcPr>
            <w:tcW w:w="440" w:type="dxa"/>
            <w:vAlign w:val="bottom"/>
          </w:tcPr>
          <w:p>
            <w:pPr>
              <w:spacing w:after="0"/>
              <w:rPr>
                <w:sz w:val="16"/>
                <w:szCs w:val="16"/>
                <w:color w:val="auto"/>
              </w:rPr>
            </w:pPr>
          </w:p>
        </w:tc>
        <w:tc>
          <w:tcPr>
            <w:tcW w:w="96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Beth</w:t>
            </w:r>
          </w:p>
        </w:tc>
        <w:tc>
          <w:tcPr>
            <w:tcW w:w="500" w:type="dxa"/>
            <w:vAlign w:val="bottom"/>
          </w:tcPr>
          <w:p>
            <w:pPr>
              <w:spacing w:after="0"/>
              <w:rPr>
                <w:sz w:val="16"/>
                <w:szCs w:val="16"/>
                <w:color w:val="auto"/>
              </w:rPr>
            </w:pPr>
          </w:p>
        </w:tc>
        <w:tc>
          <w:tcPr>
            <w:tcW w:w="100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James</w:t>
            </w:r>
          </w:p>
        </w:tc>
        <w:tc>
          <w:tcPr>
            <w:tcW w:w="460" w:type="dxa"/>
            <w:vAlign w:val="bottom"/>
          </w:tcPr>
          <w:p>
            <w:pPr>
              <w:spacing w:after="0"/>
              <w:rPr>
                <w:sz w:val="16"/>
                <w:szCs w:val="16"/>
                <w:color w:val="auto"/>
              </w:rPr>
            </w:pPr>
          </w:p>
        </w:tc>
        <w:tc>
          <w:tcPr>
            <w:tcW w:w="104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Jeffrey</w:t>
            </w:r>
          </w:p>
        </w:tc>
        <w:tc>
          <w:tcPr>
            <w:tcW w:w="380" w:type="dxa"/>
            <w:vAlign w:val="bottom"/>
          </w:tcPr>
          <w:p>
            <w:pPr>
              <w:spacing w:after="0"/>
              <w:rPr>
                <w:sz w:val="16"/>
                <w:szCs w:val="16"/>
                <w:color w:val="auto"/>
              </w:rPr>
            </w:pPr>
          </w:p>
        </w:tc>
        <w:tc>
          <w:tcPr>
            <w:tcW w:w="106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b w:val="1"/>
                <w:bCs w:val="1"/>
                <w:color w:val="auto"/>
              </w:rPr>
              <w:t>Kevin</w:t>
            </w:r>
          </w:p>
        </w:tc>
      </w:tr>
      <w:tr>
        <w:trPr>
          <w:trHeight w:val="216"/>
        </w:trPr>
        <w:tc>
          <w:tcPr>
            <w:tcW w:w="3920" w:type="dxa"/>
            <w:vAlign w:val="bottom"/>
            <w:tcBorders>
              <w:bottom w:val="single" w:sz="8" w:color="CBCBCB"/>
            </w:tcBorders>
          </w:tcPr>
          <w:p>
            <w:pPr>
              <w:spacing w:after="0"/>
              <w:rPr>
                <w:sz w:val="18"/>
                <w:szCs w:val="18"/>
                <w:color w:val="auto"/>
              </w:rPr>
            </w:pPr>
          </w:p>
        </w:tc>
        <w:tc>
          <w:tcPr>
            <w:tcW w:w="1440" w:type="dxa"/>
            <w:vAlign w:val="bottom"/>
            <w:tcBorders>
              <w:bottom w:val="single" w:sz="8" w:color="CBCBCB"/>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Householder</w:t>
            </w:r>
          </w:p>
        </w:tc>
        <w:tc>
          <w:tcPr>
            <w:tcW w:w="440" w:type="dxa"/>
            <w:vAlign w:val="bottom"/>
            <w:tcBorders>
              <w:bottom w:val="single" w:sz="8" w:color="CBCBCB"/>
            </w:tcBorders>
          </w:tcPr>
          <w:p>
            <w:pPr>
              <w:spacing w:after="0"/>
              <w:rPr>
                <w:sz w:val="18"/>
                <w:szCs w:val="18"/>
                <w:color w:val="auto"/>
              </w:rPr>
            </w:pPr>
          </w:p>
        </w:tc>
        <w:tc>
          <w:tcPr>
            <w:tcW w:w="960" w:type="dxa"/>
            <w:vAlign w:val="bottom"/>
            <w:tcBorders>
              <w:bottom w:val="single" w:sz="8" w:color="CBCBCB"/>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Cooper</w:t>
            </w:r>
          </w:p>
        </w:tc>
        <w:tc>
          <w:tcPr>
            <w:tcW w:w="500" w:type="dxa"/>
            <w:vAlign w:val="bottom"/>
            <w:tcBorders>
              <w:bottom w:val="single" w:sz="8" w:color="CBCBCB"/>
            </w:tcBorders>
          </w:tcPr>
          <w:p>
            <w:pPr>
              <w:spacing w:after="0"/>
              <w:rPr>
                <w:sz w:val="18"/>
                <w:szCs w:val="18"/>
                <w:color w:val="auto"/>
              </w:rPr>
            </w:pPr>
          </w:p>
        </w:tc>
        <w:tc>
          <w:tcPr>
            <w:tcW w:w="1000" w:type="dxa"/>
            <w:vAlign w:val="bottom"/>
            <w:tcBorders>
              <w:bottom w:val="single" w:sz="8" w:color="CBCBCB"/>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Moriarty</w:t>
            </w:r>
          </w:p>
        </w:tc>
        <w:tc>
          <w:tcPr>
            <w:tcW w:w="460" w:type="dxa"/>
            <w:vAlign w:val="bottom"/>
            <w:tcBorders>
              <w:bottom w:val="single" w:sz="8" w:color="CBCBCB"/>
            </w:tcBorders>
          </w:tcPr>
          <w:p>
            <w:pPr>
              <w:spacing w:after="0"/>
              <w:rPr>
                <w:sz w:val="18"/>
                <w:szCs w:val="18"/>
                <w:color w:val="auto"/>
              </w:rPr>
            </w:pPr>
          </w:p>
        </w:tc>
        <w:tc>
          <w:tcPr>
            <w:tcW w:w="1040" w:type="dxa"/>
            <w:vAlign w:val="bottom"/>
            <w:tcBorders>
              <w:bottom w:val="single" w:sz="8" w:color="CBCBCB"/>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Sylvester</w:t>
            </w:r>
          </w:p>
        </w:tc>
        <w:tc>
          <w:tcPr>
            <w:tcW w:w="380" w:type="dxa"/>
            <w:vAlign w:val="bottom"/>
            <w:tcBorders>
              <w:bottom w:val="single" w:sz="8" w:color="CBCBCB"/>
            </w:tcBorders>
          </w:tcPr>
          <w:p>
            <w:pPr>
              <w:spacing w:after="0"/>
              <w:rPr>
                <w:sz w:val="18"/>
                <w:szCs w:val="18"/>
                <w:color w:val="auto"/>
              </w:rPr>
            </w:pPr>
          </w:p>
        </w:tc>
        <w:tc>
          <w:tcPr>
            <w:tcW w:w="1060" w:type="dxa"/>
            <w:vAlign w:val="bottom"/>
            <w:tcBorders>
              <w:bottom w:val="single" w:sz="8" w:color="CBCBCB"/>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Webber</w:t>
            </w:r>
          </w:p>
        </w:tc>
      </w:tr>
      <w:tr>
        <w:trPr>
          <w:trHeight w:val="23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Base Salary </w:t>
            </w:r>
            <w:r>
              <w:rPr>
                <w:rFonts w:ascii="Times New Roman" w:cs="Times New Roman" w:eastAsia="Times New Roman" w:hAnsi="Times New Roman"/>
                <w:sz w:val="18"/>
                <w:szCs w:val="18"/>
                <w:color w:val="828282"/>
              </w:rPr>
              <w:t>(based upon severance multiple)</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1,030,000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736,000</w:t>
            </w:r>
          </w:p>
        </w:tc>
      </w:tr>
      <w:tr>
        <w:trPr>
          <w:trHeight w:val="27"/>
        </w:trPr>
        <w:tc>
          <w:tcPr>
            <w:tcW w:w="392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1040" w:type="dxa"/>
            <w:vAlign w:val="bottom"/>
            <w:tcBorders>
              <w:bottom w:val="single" w:sz="8" w:color="DDDDDD"/>
            </w:tcBorders>
          </w:tcPr>
          <w:p>
            <w:pPr>
              <w:spacing w:after="0"/>
              <w:rPr>
                <w:sz w:val="2"/>
                <w:szCs w:val="2"/>
                <w:color w:val="auto"/>
              </w:rPr>
            </w:pPr>
          </w:p>
        </w:tc>
        <w:tc>
          <w:tcPr>
            <w:tcW w:w="440" w:type="dxa"/>
            <w:vAlign w:val="bottom"/>
            <w:tcBorders>
              <w:bottom w:val="single" w:sz="8" w:color="DDDDDD"/>
            </w:tcBorders>
          </w:tcPr>
          <w:p>
            <w:pPr>
              <w:spacing w:after="0"/>
              <w:rPr>
                <w:sz w:val="2"/>
                <w:szCs w:val="2"/>
                <w:color w:val="auto"/>
              </w:rPr>
            </w:pPr>
          </w:p>
        </w:tc>
        <w:tc>
          <w:tcPr>
            <w:tcW w:w="960" w:type="dxa"/>
            <w:vAlign w:val="bottom"/>
            <w:tcBorders>
              <w:bottom w:val="single" w:sz="8" w:color="DDDDDD"/>
            </w:tcBorders>
          </w:tcPr>
          <w:p>
            <w:pPr>
              <w:spacing w:after="0"/>
              <w:rPr>
                <w:sz w:val="2"/>
                <w:szCs w:val="2"/>
                <w:color w:val="auto"/>
              </w:rPr>
            </w:pPr>
          </w:p>
        </w:tc>
        <w:tc>
          <w:tcPr>
            <w:tcW w:w="500" w:type="dxa"/>
            <w:vAlign w:val="bottom"/>
            <w:tcBorders>
              <w:bottom w:val="single" w:sz="8" w:color="DDDDDD"/>
            </w:tcBorders>
          </w:tcPr>
          <w:p>
            <w:pPr>
              <w:spacing w:after="0"/>
              <w:rPr>
                <w:sz w:val="2"/>
                <w:szCs w:val="2"/>
                <w:color w:val="auto"/>
              </w:rPr>
            </w:pPr>
          </w:p>
        </w:tc>
        <w:tc>
          <w:tcPr>
            <w:tcW w:w="1000" w:type="dxa"/>
            <w:vAlign w:val="bottom"/>
            <w:tcBorders>
              <w:bottom w:val="single" w:sz="8" w:color="DDDDDD"/>
            </w:tcBorders>
          </w:tcPr>
          <w:p>
            <w:pPr>
              <w:spacing w:after="0"/>
              <w:rPr>
                <w:sz w:val="2"/>
                <w:szCs w:val="2"/>
                <w:color w:val="auto"/>
              </w:rPr>
            </w:pPr>
          </w:p>
        </w:tc>
        <w:tc>
          <w:tcPr>
            <w:tcW w:w="460" w:type="dxa"/>
            <w:vAlign w:val="bottom"/>
            <w:tcBorders>
              <w:bottom w:val="single" w:sz="8" w:color="DDDDDD"/>
            </w:tcBorders>
          </w:tcPr>
          <w:p>
            <w:pPr>
              <w:spacing w:after="0"/>
              <w:rPr>
                <w:sz w:val="2"/>
                <w:szCs w:val="2"/>
                <w:color w:val="auto"/>
              </w:rPr>
            </w:pPr>
          </w:p>
        </w:tc>
        <w:tc>
          <w:tcPr>
            <w:tcW w:w="1040" w:type="dxa"/>
            <w:vAlign w:val="bottom"/>
            <w:tcBorders>
              <w:bottom w:val="single" w:sz="8" w:color="DDDDDD"/>
            </w:tcBorders>
          </w:tcPr>
          <w:p>
            <w:pPr>
              <w:spacing w:after="0"/>
              <w:rPr>
                <w:sz w:val="2"/>
                <w:szCs w:val="2"/>
                <w:color w:val="auto"/>
              </w:rPr>
            </w:pPr>
          </w:p>
        </w:tc>
        <w:tc>
          <w:tcPr>
            <w:tcW w:w="380" w:type="dxa"/>
            <w:vAlign w:val="bottom"/>
            <w:tcBorders>
              <w:bottom w:val="single" w:sz="8" w:color="DDDDDD"/>
            </w:tcBorders>
          </w:tcPr>
          <w:p>
            <w:pPr>
              <w:spacing w:after="0"/>
              <w:rPr>
                <w:sz w:val="2"/>
                <w:szCs w:val="2"/>
                <w:color w:val="auto"/>
              </w:rPr>
            </w:pPr>
          </w:p>
        </w:tc>
        <w:tc>
          <w:tcPr>
            <w:tcW w:w="1060" w:type="dxa"/>
            <w:vAlign w:val="bottom"/>
            <w:tcBorders>
              <w:bottom w:val="single" w:sz="8" w:color="DDDDDD"/>
            </w:tcBorders>
          </w:tcPr>
          <w:p>
            <w:pPr>
              <w:spacing w:after="0"/>
              <w:rPr>
                <w:sz w:val="2"/>
                <w:szCs w:val="2"/>
                <w:color w:val="auto"/>
              </w:rPr>
            </w:pPr>
          </w:p>
        </w:tc>
      </w:tr>
      <w:tr>
        <w:trPr>
          <w:trHeight w:val="263"/>
        </w:trPr>
        <w:tc>
          <w:tcPr>
            <w:tcW w:w="39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Cash Incentive </w:t>
            </w:r>
            <w:r>
              <w:rPr>
                <w:rFonts w:ascii="Times New Roman" w:cs="Times New Roman" w:eastAsia="Times New Roman" w:hAnsi="Times New Roman"/>
                <w:sz w:val="18"/>
                <w:szCs w:val="18"/>
                <w:color w:val="828282"/>
              </w:rPr>
              <w:t>(based upon severance multiple)</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DDDDDD"/>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2,439,338</w:t>
            </w:r>
          </w:p>
        </w:tc>
        <w:tc>
          <w:tcPr>
            <w:tcW w:w="4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523,423</w:t>
            </w:r>
          </w:p>
        </w:tc>
        <w:tc>
          <w:tcPr>
            <w:tcW w:w="5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507,815</w:t>
            </w:r>
          </w:p>
        </w:tc>
        <w:tc>
          <w:tcPr>
            <w:tcW w:w="4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390,333</w:t>
            </w:r>
          </w:p>
        </w:tc>
        <w:tc>
          <w:tcPr>
            <w:tcW w:w="3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329,320</w:t>
            </w:r>
          </w:p>
        </w:tc>
      </w:tr>
      <w:tr>
        <w:trPr>
          <w:trHeight w:val="263"/>
        </w:trPr>
        <w:tc>
          <w:tcPr>
            <w:tcW w:w="39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Healthcare and Other Insurance Benefits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DDDDDD"/>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57,207</w:t>
            </w:r>
          </w:p>
        </w:tc>
        <w:tc>
          <w:tcPr>
            <w:tcW w:w="4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53,470</w:t>
            </w:r>
          </w:p>
        </w:tc>
        <w:tc>
          <w:tcPr>
            <w:tcW w:w="5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35,014</w:t>
            </w:r>
          </w:p>
        </w:tc>
        <w:tc>
          <w:tcPr>
            <w:tcW w:w="4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27,922</w:t>
            </w:r>
          </w:p>
        </w:tc>
        <w:tc>
          <w:tcPr>
            <w:tcW w:w="3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37,854</w:t>
            </w:r>
          </w:p>
        </w:tc>
      </w:tr>
      <w:tr>
        <w:trPr>
          <w:trHeight w:val="263"/>
        </w:trPr>
        <w:tc>
          <w:tcPr>
            <w:tcW w:w="39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8"/>
                <w:szCs w:val="18"/>
                <w:color w:val="auto"/>
              </w:rPr>
              <w:t>Unpaid Equity Incentive Compensation</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DDDDDD"/>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8"/>
                <w:szCs w:val="18"/>
                <w:color w:val="auto"/>
              </w:rPr>
              <w:t>4,369,345</w:t>
            </w:r>
          </w:p>
        </w:tc>
        <w:tc>
          <w:tcPr>
            <w:tcW w:w="4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8"/>
                <w:szCs w:val="18"/>
                <w:color w:val="auto"/>
              </w:rPr>
              <w:t>1,402,302</w:t>
            </w:r>
          </w:p>
        </w:tc>
        <w:tc>
          <w:tcPr>
            <w:tcW w:w="5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8"/>
                <w:szCs w:val="18"/>
                <w:color w:val="auto"/>
              </w:rPr>
              <w:t>1,320,460</w:t>
            </w:r>
          </w:p>
        </w:tc>
        <w:tc>
          <w:tcPr>
            <w:tcW w:w="4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8"/>
                <w:szCs w:val="18"/>
                <w:color w:val="auto"/>
              </w:rPr>
              <w:t>836,890</w:t>
            </w:r>
          </w:p>
        </w:tc>
        <w:tc>
          <w:tcPr>
            <w:tcW w:w="3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8"/>
                <w:szCs w:val="18"/>
                <w:color w:val="auto"/>
              </w:rPr>
              <w:t>632,408</w:t>
            </w:r>
          </w:p>
        </w:tc>
      </w:tr>
      <w:tr>
        <w:trPr>
          <w:trHeight w:val="237"/>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Severance Potential</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9,505,890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3,009,195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2,833,289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2,205,145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1,735,582</w:t>
            </w:r>
          </w:p>
        </w:tc>
      </w:tr>
      <w:tr>
        <w:trPr>
          <w:trHeight w:val="39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Amount Payable to Executive</w:t>
            </w:r>
            <w:r>
              <w:rPr>
                <w:rFonts w:ascii="Times New Roman" w:cs="Times New Roman" w:eastAsia="Times New Roman" w:hAnsi="Times New Roman"/>
                <w:sz w:val="23"/>
                <w:szCs w:val="23"/>
                <w:color w:val="auto"/>
                <w:vertAlign w:val="superscript"/>
              </w:rPr>
              <w:t>(4)(5)</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5,943,990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1,971,324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1,714,990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1,502,885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062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8" w:lineRule="exact"/>
        <w:rPr>
          <w:sz w:val="20"/>
          <w:szCs w:val="20"/>
          <w:color w:val="auto"/>
        </w:rPr>
      </w:pPr>
    </w:p>
    <w:p>
      <w:pPr>
        <w:jc w:val="both"/>
        <w:ind w:left="80" w:hanging="72"/>
        <w:spacing w:after="0" w:line="207" w:lineRule="auto"/>
        <w:tabs>
          <w:tab w:leader="none" w:pos="73" w:val="left"/>
        </w:tabs>
        <w:numPr>
          <w:ilvl w:val="0"/>
          <w:numId w:val="5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average of the cash incentive awards under the 2015 Cash Plan (or any predecessor plan) for performance in 2022, 2023 and 2024, multiplied by the respective severance multiple. In addition, each NEO is entitled to receive their applicable annual cash incentive award that was earned for performance in 2025 as set forth in the Non-Equity Incentive Plan Compensation column of the Summary Compensation Table.</w:t>
      </w:r>
    </w:p>
    <w:p>
      <w:pPr>
        <w:spacing w:after="0" w:line="2" w:lineRule="exact"/>
        <w:rPr>
          <w:sz w:val="20"/>
          <w:szCs w:val="20"/>
          <w:color w:val="auto"/>
        </w:rPr>
      </w:pPr>
    </w:p>
    <w:p>
      <w:pPr>
        <w:ind w:left="80" w:right="20" w:hanging="72"/>
        <w:spacing w:after="0" w:line="204" w:lineRule="auto"/>
        <w:tabs>
          <w:tab w:leader="none" w:pos="73" w:val="left"/>
        </w:tabs>
        <w:numPr>
          <w:ilvl w:val="0"/>
          <w:numId w:val="6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Based upon the expected healthcare cost per employee for 2025, as provided by the Company’s third-party administrator, as well as the term life insurance paid by the Company, and continued coverage for life, accidental death and dismemberment, and short-term and long-term disability insurance.</w:t>
      </w:r>
    </w:p>
    <w:p>
      <w:pPr>
        <w:spacing w:after="0" w:line="1" w:lineRule="exact"/>
        <w:rPr>
          <w:sz w:val="20"/>
          <w:szCs w:val="20"/>
          <w:color w:val="auto"/>
        </w:rPr>
      </w:pPr>
    </w:p>
    <w:p>
      <w:pPr>
        <w:ind w:left="80" w:right="20" w:hanging="72"/>
        <w:spacing w:after="0" w:line="204" w:lineRule="auto"/>
        <w:tabs>
          <w:tab w:leader="none" w:pos="73" w:val="left"/>
        </w:tabs>
        <w:numPr>
          <w:ilvl w:val="0"/>
          <w:numId w:val="6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This represents the target equity awards under the 2024-2026 and 2025-2027 performance periods for the NEOs. The equity awards are valued at $124.76 per share, the Company's closing market price per share on December 31, 2025, the last business day of 2025.</w:t>
      </w:r>
    </w:p>
    <w:p>
      <w:pPr>
        <w:spacing w:after="0" w:line="1" w:lineRule="exact"/>
        <w:rPr>
          <w:sz w:val="20"/>
          <w:szCs w:val="20"/>
          <w:color w:val="auto"/>
        </w:rPr>
      </w:pPr>
    </w:p>
    <w:p>
      <w:pPr>
        <w:jc w:val="both"/>
        <w:ind w:left="80" w:hanging="72"/>
        <w:spacing w:after="0" w:line="210" w:lineRule="auto"/>
        <w:tabs>
          <w:tab w:leader="none" w:pos="73" w:val="left"/>
        </w:tabs>
        <w:numPr>
          <w:ilvl w:val="0"/>
          <w:numId w:val="6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total severance amount payable to a NEO following a change in control is limited in accordance with the NEO's employment agreements. In the event of a termination associated with a change in control, each NEO would receive whichever is greater of the following two options after income tax: 1) the gross severance potential reduced to the extent necessary to avoid the severance amount being considered an "excess parachute payment" within the meaning of Internal Revenue Code Section 280G, which, pursuant to Section 280G, is calculated by multiplying three times the five-year average of the NEO's W-2 compensation (or the period employed, if less); or 2) the gross severance potential reduced by excise tax, which is calculated as a percentage of the gross severance potential minus the five-year average of the NEO's W-2 compensation (or the period employed, if less).</w:t>
      </w:r>
    </w:p>
    <w:p>
      <w:pPr>
        <w:ind w:left="80" w:hanging="72"/>
        <w:spacing w:after="0" w:line="200" w:lineRule="auto"/>
        <w:tabs>
          <w:tab w:leader="none" w:pos="80" w:val="left"/>
        </w:tabs>
        <w:numPr>
          <w:ilvl w:val="0"/>
          <w:numId w:val="6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 applying the two options described in footnote 4 above, Ms. Cooper's state income tax basis reflects an administrative adjustment to 6.32%, consistent with her withholding election for 2025.</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Treasury Regulations issued under Section 409A of the Internal Revenue Code, each NEO's employment agreement provides that if a separation from service occurs within two years of a change in control, severance benefits would be paid in a lump sum. In addition, each employment agreement provides that benefits paid upon a separation from service would be subject to a six-month delay in the commencement of payment if required by Section 409A of the Internal Revenue Code. The NEO would pay the full amount for benefits extended during the six-month delay period (to be reimbursed by the Company with interest) if this delay provision applies.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006EBF"/>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are providing the following information to comply with Section 953(a) of the Dodd-Frank Wall Street Reform and Consumer Protection Act, and Item 402(v) of Regulation S-K. The following table provides information on compensation actually paid (“CAP”) to our Principal Executive Officer ("PEO"), and the average CAP for the four other NEOs (excluding the PEO) for the five fiscal years ended 2021 through 2025. CAP is total compensation reported in the Summary Compensation Table adjusted to reflect compensation "actually paid" as described under Item 402(v) of Regulation S-K. CAP does not reflect the actual amount of compensation earned or realized by our PEO or NEOs. In addition to CAP, the table presents total compensation reported in the Summary Compensation Table, the Company's TSR and the TSR of the Company's performance peer group as specified below, the Company's Net Income as reported in its audited financial statements, and the financial performance metric identified by the Company as the single most important financial performance metric used to link executive compensation to the Company's performance. The Company has identified Earnings Per Share as the most important financial metric for these purposes. The Compensation Committee does not use CAP as a basis for making compensation decisions. In the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Executive Compensation </w:t>
      </w:r>
      <w:r>
        <w:rPr>
          <w:rFonts w:ascii="Times New Roman" w:cs="Times New Roman" w:eastAsia="Times New Roman" w:hAnsi="Times New Roman"/>
          <w:sz w:val="18"/>
          <w:szCs w:val="18"/>
          <w:color w:val="auto"/>
        </w:rPr>
        <w:t>sections of this Proxy Statement we provide additional narrative and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our current executive compensation program, including our philosophy, the design of our program, and the mix of compensation and targets that the Compensation Committee believes aligns the financial interests of the executive officers with the interests of our stockholders.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Initial Fixed $100</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20" w:type="dxa"/>
            <w:vAlign w:val="bottom"/>
          </w:tcPr>
          <w:p>
            <w:pPr>
              <w:spacing w:after="0"/>
              <w:rPr>
                <w:sz w:val="20"/>
                <w:szCs w:val="20"/>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 Based on:</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20" w:type="dxa"/>
            <w:vAlign w:val="bottom"/>
          </w:tcPr>
          <w:p>
            <w:pPr>
              <w:spacing w:after="0"/>
              <w:rPr>
                <w:sz w:val="16"/>
                <w:szCs w:val="16"/>
                <w:color w:val="auto"/>
              </w:rPr>
            </w:pP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Summary</w:t>
            </w:r>
          </w:p>
        </w:tc>
        <w:tc>
          <w:tcPr>
            <w:tcW w:w="14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Peer Group</w:t>
            </w: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80" w:type="dxa"/>
            <w:vAlign w:val="bottom"/>
            <w:vMerge w:val="continue"/>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20" w:type="dxa"/>
            <w:vAlign w:val="bottom"/>
            <w:vMerge w:val="continue"/>
          </w:tcPr>
          <w:p>
            <w:pPr>
              <w:spacing w:after="0"/>
              <w:rPr>
                <w:sz w:val="16"/>
                <w:szCs w:val="16"/>
                <w:color w:val="auto"/>
              </w:rPr>
            </w:pP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60" w:type="dxa"/>
            <w:vAlign w:val="bottom"/>
            <w:vMerge w:val="continue"/>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0" w:type="dxa"/>
            <w:vAlign w:val="bottom"/>
          </w:tcPr>
          <w:p>
            <w:pPr>
              <w:spacing w:after="0"/>
              <w:rPr>
                <w:sz w:val="1"/>
                <w:szCs w:val="1"/>
                <w:color w:val="auto"/>
              </w:rPr>
            </w:pPr>
          </w:p>
        </w:tc>
      </w:tr>
      <w:tr>
        <w:trPr>
          <w:trHeight w:val="189"/>
        </w:trPr>
        <w:tc>
          <w:tcPr>
            <w:tcW w:w="720" w:type="dxa"/>
            <w:vAlign w:val="bottom"/>
            <w:tcBorders>
              <w:bottom w:val="single" w:sz="8" w:color="ADADAD"/>
            </w:tcBorders>
            <w:vMerge w:val="continue"/>
          </w:tcPr>
          <w:p>
            <w:pPr>
              <w:spacing w:after="0"/>
              <w:rPr>
                <w:sz w:val="16"/>
                <w:szCs w:val="16"/>
                <w:color w:val="auto"/>
              </w:rPr>
            </w:pPr>
          </w:p>
        </w:tc>
        <w:tc>
          <w:tcPr>
            <w:tcW w:w="144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for PEO</w:t>
            </w:r>
            <w:r>
              <w:rPr>
                <w:rFonts w:ascii="Times New Roman" w:cs="Times New Roman" w:eastAsia="Times New Roman" w:hAnsi="Times New Roman"/>
                <w:sz w:val="9"/>
                <w:szCs w:val="9"/>
                <w:color w:val="auto"/>
              </w:rPr>
              <w:t>(1)</w:t>
            </w:r>
          </w:p>
        </w:tc>
        <w:tc>
          <w:tcPr>
            <w:tcW w:w="142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to PEO</w:t>
            </w:r>
            <w:r>
              <w:rPr>
                <w:rFonts w:ascii="Times New Roman" w:cs="Times New Roman" w:eastAsia="Times New Roman" w:hAnsi="Times New Roman"/>
                <w:sz w:val="9"/>
                <w:szCs w:val="9"/>
                <w:color w:val="auto"/>
              </w:rPr>
              <w:t>(2)</w:t>
            </w:r>
          </w:p>
        </w:tc>
        <w:tc>
          <w:tcPr>
            <w:tcW w:w="144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NEOs</w:t>
            </w:r>
            <w:r>
              <w:rPr>
                <w:rFonts w:ascii="Times New Roman" w:cs="Times New Roman" w:eastAsia="Times New Roman" w:hAnsi="Times New Roman"/>
                <w:sz w:val="9"/>
                <w:szCs w:val="9"/>
                <w:color w:val="auto"/>
                <w:w w:val="99"/>
              </w:rPr>
              <w:t>(1)</w:t>
            </w:r>
          </w:p>
        </w:tc>
        <w:tc>
          <w:tcPr>
            <w:tcW w:w="142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NEOs</w:t>
            </w:r>
            <w:r>
              <w:rPr>
                <w:rFonts w:ascii="Times New Roman" w:cs="Times New Roman" w:eastAsia="Times New Roman" w:hAnsi="Times New Roman"/>
                <w:sz w:val="9"/>
                <w:szCs w:val="9"/>
                <w:color w:val="auto"/>
                <w:w w:val="99"/>
              </w:rPr>
              <w:t>(2)</w:t>
            </w:r>
          </w:p>
        </w:tc>
        <w:tc>
          <w:tcPr>
            <w:tcW w:w="126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Return</w:t>
            </w:r>
            <w:r>
              <w:rPr>
                <w:rFonts w:ascii="Times New Roman" w:cs="Times New Roman" w:eastAsia="Times New Roman" w:hAnsi="Times New Roman"/>
                <w:sz w:val="9"/>
                <w:szCs w:val="9"/>
                <w:color w:val="auto"/>
              </w:rPr>
              <w:t>(3)</w:t>
            </w:r>
          </w:p>
        </w:tc>
        <w:tc>
          <w:tcPr>
            <w:tcW w:w="128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Return</w:t>
            </w:r>
            <w:r>
              <w:rPr>
                <w:rFonts w:ascii="Times New Roman" w:cs="Times New Roman" w:eastAsia="Times New Roman" w:hAnsi="Times New Roman"/>
                <w:sz w:val="9"/>
                <w:szCs w:val="9"/>
                <w:color w:val="auto"/>
              </w:rPr>
              <w:t>(4)</w:t>
            </w:r>
          </w:p>
        </w:tc>
        <w:tc>
          <w:tcPr>
            <w:tcW w:w="126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4"/>
                <w:szCs w:val="14"/>
                <w:i w:val="1"/>
                <w:iCs w:val="1"/>
                <w:color w:val="auto"/>
                <w:w w:val="94"/>
              </w:rPr>
              <w:t>(in millions)</w:t>
            </w:r>
            <w:r>
              <w:rPr>
                <w:rFonts w:ascii="Times New Roman" w:cs="Times New Roman" w:eastAsia="Times New Roman" w:hAnsi="Times New Roman"/>
                <w:sz w:val="18"/>
                <w:szCs w:val="18"/>
                <w:color w:val="auto"/>
                <w:w w:val="94"/>
                <w:vertAlign w:val="superscript"/>
              </w:rPr>
              <w:t>(5)(7)</w:t>
            </w:r>
          </w:p>
        </w:tc>
        <w:tc>
          <w:tcPr>
            <w:tcW w:w="1000" w:type="dxa"/>
            <w:vAlign w:val="bottom"/>
            <w:tcBorders>
              <w:bottom w:val="single" w:sz="8" w:color="ADADAD"/>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w:t>
            </w:r>
            <w:r>
              <w:rPr>
                <w:rFonts w:ascii="Times New Roman" w:cs="Times New Roman" w:eastAsia="Times New Roman" w:hAnsi="Times New Roman"/>
                <w:sz w:val="9"/>
                <w:szCs w:val="9"/>
                <w:color w:val="auto"/>
                <w:w w:val="99"/>
              </w:rPr>
              <w:t>(6)(7)</w:t>
            </w:r>
          </w:p>
        </w:tc>
        <w:tc>
          <w:tcPr>
            <w:tcW w:w="0" w:type="dxa"/>
            <w:vAlign w:val="bottom"/>
          </w:tcPr>
          <w:p>
            <w:pPr>
              <w:spacing w:after="0"/>
              <w:rPr>
                <w:sz w:val="1"/>
                <w:szCs w:val="1"/>
                <w:color w:val="auto"/>
              </w:rPr>
            </w:pPr>
          </w:p>
        </w:tc>
      </w:tr>
      <w:tr>
        <w:trPr>
          <w:trHeight w:val="237"/>
        </w:trPr>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$4,531,322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$5,540,974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$1,334,527</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$1,608,029</w:t>
            </w:r>
          </w:p>
        </w:tc>
        <w:tc>
          <w:tcPr>
            <w:tcW w:w="126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$127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$140.3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0" w:type="dxa"/>
            <w:vAlign w:val="bottom"/>
          </w:tcPr>
          <w:p>
            <w:pPr>
              <w:spacing w:after="0"/>
              <w:rPr>
                <w:sz w:val="1"/>
                <w:szCs w:val="1"/>
                <w:color w:val="auto"/>
              </w:rPr>
            </w:pPr>
          </w:p>
        </w:tc>
      </w:tr>
      <w:tr>
        <w:trPr>
          <w:trHeight w:val="27"/>
        </w:trPr>
        <w:tc>
          <w:tcPr>
            <w:tcW w:w="7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B6B6B6"/>
            </w:tcBorders>
          </w:tcPr>
          <w:p>
            <w:pPr>
              <w:spacing w:after="0"/>
              <w:rPr>
                <w:sz w:val="2"/>
                <w:szCs w:val="2"/>
                <w:color w:val="auto"/>
              </w:rPr>
            </w:pPr>
          </w:p>
        </w:tc>
        <w:tc>
          <w:tcPr>
            <w:tcW w:w="12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10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$4,154,015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$5,276,611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$1,304,330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$1,604,065</w:t>
            </w:r>
          </w:p>
        </w:tc>
        <w:tc>
          <w:tcPr>
            <w:tcW w:w="126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w:t>
            </w:r>
          </w:p>
        </w:tc>
        <w:tc>
          <w:tcPr>
            <w:tcW w:w="0" w:type="dxa"/>
            <w:vAlign w:val="bottom"/>
          </w:tcPr>
          <w:p>
            <w:pPr>
              <w:spacing w:after="0"/>
              <w:rPr>
                <w:sz w:val="1"/>
                <w:szCs w:val="1"/>
                <w:color w:val="auto"/>
              </w:rPr>
            </w:pPr>
          </w:p>
        </w:tc>
      </w:tr>
      <w:tr>
        <w:trPr>
          <w:trHeight w:val="27"/>
        </w:trPr>
        <w:tc>
          <w:tcPr>
            <w:tcW w:w="7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B6B6B6"/>
            </w:tcBorders>
          </w:tcPr>
          <w:p>
            <w:pPr>
              <w:spacing w:after="0"/>
              <w:rPr>
                <w:sz w:val="2"/>
                <w:szCs w:val="2"/>
                <w:color w:val="auto"/>
              </w:rPr>
            </w:pPr>
          </w:p>
        </w:tc>
        <w:tc>
          <w:tcPr>
            <w:tcW w:w="12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10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$3,269,505</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$3,364,847</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$1,155,639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$1,177,386</w:t>
            </w:r>
          </w:p>
        </w:tc>
        <w:tc>
          <w:tcPr>
            <w:tcW w:w="126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0" w:type="dxa"/>
            <w:vAlign w:val="bottom"/>
          </w:tcPr>
          <w:p>
            <w:pPr>
              <w:spacing w:after="0"/>
              <w:rPr>
                <w:sz w:val="1"/>
                <w:szCs w:val="1"/>
                <w:color w:val="auto"/>
              </w:rPr>
            </w:pPr>
          </w:p>
        </w:tc>
      </w:tr>
      <w:tr>
        <w:trPr>
          <w:trHeight w:val="27"/>
        </w:trPr>
        <w:tc>
          <w:tcPr>
            <w:tcW w:w="7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B6B6B6"/>
            </w:tcBorders>
          </w:tcPr>
          <w:p>
            <w:pPr>
              <w:spacing w:after="0"/>
              <w:rPr>
                <w:sz w:val="2"/>
                <w:szCs w:val="2"/>
                <w:color w:val="auto"/>
              </w:rPr>
            </w:pPr>
          </w:p>
        </w:tc>
        <w:tc>
          <w:tcPr>
            <w:tcW w:w="12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10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$2,768,416</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$1,744,451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$938,039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$646,504</w:t>
            </w:r>
          </w:p>
        </w:tc>
        <w:tc>
          <w:tcPr>
            <w:tcW w:w="126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4"/>
              </w:rPr>
              <w:t>$113</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$89.8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$5.07</w:t>
            </w:r>
          </w:p>
        </w:tc>
        <w:tc>
          <w:tcPr>
            <w:tcW w:w="0" w:type="dxa"/>
            <w:vAlign w:val="bottom"/>
          </w:tcPr>
          <w:p>
            <w:pPr>
              <w:spacing w:after="0"/>
              <w:rPr>
                <w:sz w:val="1"/>
                <w:szCs w:val="1"/>
                <w:color w:val="auto"/>
              </w:rPr>
            </w:pPr>
          </w:p>
        </w:tc>
      </w:tr>
      <w:tr>
        <w:trPr>
          <w:trHeight w:val="27"/>
        </w:trPr>
        <w:tc>
          <w:tcPr>
            <w:tcW w:w="7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B6B6B6"/>
            </w:tcBorders>
          </w:tcPr>
          <w:p>
            <w:pPr>
              <w:spacing w:after="0"/>
              <w:rPr>
                <w:sz w:val="2"/>
                <w:szCs w:val="2"/>
                <w:color w:val="auto"/>
              </w:rPr>
            </w:pPr>
          </w:p>
        </w:tc>
        <w:tc>
          <w:tcPr>
            <w:tcW w:w="12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10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$2,836,970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$6,130,154</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$953,892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$1,914,113</w:t>
            </w:r>
          </w:p>
        </w:tc>
        <w:tc>
          <w:tcPr>
            <w:tcW w:w="126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8"/>
                <w:szCs w:val="18"/>
                <w:color w:val="auto"/>
                <w:w w:val="99"/>
              </w:rPr>
              <w:t>$137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$4.75</w:t>
            </w:r>
          </w:p>
        </w:tc>
        <w:tc>
          <w:tcPr>
            <w:tcW w:w="0" w:type="dxa"/>
            <w:vAlign w:val="bottom"/>
          </w:tcPr>
          <w:p>
            <w:pPr>
              <w:spacing w:after="0"/>
              <w:rPr>
                <w:sz w:val="1"/>
                <w:szCs w:val="1"/>
                <w:color w:val="auto"/>
              </w:rPr>
            </w:pPr>
          </w:p>
        </w:tc>
      </w:tr>
      <w:tr>
        <w:trPr>
          <w:trHeight w:val="27"/>
        </w:trPr>
        <w:tc>
          <w:tcPr>
            <w:tcW w:w="7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tcPr>
          <w:p>
            <w:pPr>
              <w:spacing w:after="0"/>
              <w:rPr>
                <w:sz w:val="2"/>
                <w:szCs w:val="2"/>
                <w:color w:val="auto"/>
              </w:rPr>
            </w:pPr>
          </w:p>
        </w:tc>
        <w:tc>
          <w:tcPr>
            <w:tcW w:w="1420" w:type="dxa"/>
            <w:vAlign w:val="bottom"/>
            <w:tcBorders>
              <w:bottom w:val="single" w:sz="8" w:color="DDDDDD"/>
            </w:tcBorders>
          </w:tcPr>
          <w:p>
            <w:pPr>
              <w:spacing w:after="0"/>
              <w:rPr>
                <w:sz w:val="2"/>
                <w:szCs w:val="2"/>
                <w:color w:val="auto"/>
              </w:rPr>
            </w:pPr>
          </w:p>
        </w:tc>
        <w:tc>
          <w:tcPr>
            <w:tcW w:w="1260" w:type="dxa"/>
            <w:vAlign w:val="bottom"/>
            <w:tcBorders>
              <w:bottom w:val="single" w:sz="8" w:color="DDDDDD"/>
              <w:right w:val="single" w:sz="8" w:color="B6B6B6"/>
            </w:tcBorders>
          </w:tcPr>
          <w:p>
            <w:pPr>
              <w:spacing w:after="0"/>
              <w:rPr>
                <w:sz w:val="2"/>
                <w:szCs w:val="2"/>
                <w:color w:val="auto"/>
              </w:rPr>
            </w:pPr>
          </w:p>
        </w:tc>
        <w:tc>
          <w:tcPr>
            <w:tcW w:w="1280" w:type="dxa"/>
            <w:vAlign w:val="bottom"/>
            <w:tcBorders>
              <w:bottom w:val="single" w:sz="8" w:color="DDDDDD"/>
            </w:tcBorders>
          </w:tcPr>
          <w:p>
            <w:pPr>
              <w:spacing w:after="0"/>
              <w:rPr>
                <w:sz w:val="2"/>
                <w:szCs w:val="2"/>
                <w:color w:val="auto"/>
              </w:rPr>
            </w:pPr>
          </w:p>
        </w:tc>
        <w:tc>
          <w:tcPr>
            <w:tcW w:w="1260" w:type="dxa"/>
            <w:vAlign w:val="bottom"/>
            <w:tcBorders>
              <w:bottom w:val="single" w:sz="8" w:color="DDDDDD"/>
            </w:tcBorders>
          </w:tcPr>
          <w:p>
            <w:pPr>
              <w:spacing w:after="0"/>
              <w:rPr>
                <w:sz w:val="2"/>
                <w:szCs w:val="2"/>
                <w:color w:val="auto"/>
              </w:rPr>
            </w:pPr>
          </w:p>
        </w:tc>
        <w:tc>
          <w:tcPr>
            <w:tcW w:w="10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left="80" w:hanging="72"/>
        <w:spacing w:after="0" w:line="252" w:lineRule="auto"/>
        <w:tabs>
          <w:tab w:leader="none" w:pos="69" w:val="left"/>
        </w:tabs>
        <w:numPr>
          <w:ilvl w:val="0"/>
          <w:numId w:val="6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Total compensation for Mr. Householder and, on average, the four other NEOs as reported in the Summary Compensation Table for the five fiscal years ended 2021 through 2025, as applicable. Mr. Householder has served as President and Chief Executive Officer of the Company since 2019. The four other NEOs are as follows: Ms. Cooper and Messrs. Moriarty, Sylvester and Webber.</w:t>
      </w:r>
    </w:p>
    <w:p>
      <w:pPr>
        <w:spacing w:after="0" w:line="1" w:lineRule="exact"/>
        <w:rPr>
          <w:sz w:val="20"/>
          <w:szCs w:val="20"/>
          <w:color w:val="auto"/>
        </w:rPr>
      </w:pPr>
    </w:p>
    <w:p>
      <w:pPr>
        <w:jc w:val="both"/>
        <w:ind w:left="80" w:hanging="72"/>
        <w:spacing w:after="0" w:line="234" w:lineRule="auto"/>
        <w:tabs>
          <w:tab w:leader="none" w:pos="98" w:val="left"/>
        </w:tabs>
        <w:numPr>
          <w:ilvl w:val="0"/>
          <w:numId w:val="6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Compensation Actually Paid reflects the total compensation as reported in the Summary Compensation Table for the NEOs adjusted in accordance with Item 402(v) of Regulation S-K. In accordance with the requirements of Item 402(v) of Regulation S-K, the following adjustments were made to Mr. Householder's total compensation for the five fiscal years ended 2021 through 2025, as applicable, to determine Compensation Actually Paid:</w:t>
      </w:r>
    </w:p>
    <w:p>
      <w:pPr>
        <w:spacing w:after="0" w:line="95" w:lineRule="exact"/>
        <w:rPr>
          <w:sz w:val="20"/>
          <w:szCs w:val="20"/>
          <w:color w:val="auto"/>
        </w:rPr>
      </w:pPr>
    </w:p>
    <w:tbl>
      <w:tblPr>
        <w:tblLayout w:type="fixed"/>
        <w:tblInd w:w="90" w:type="dxa"/>
        <w:tblCellMar>
          <w:top w:w="0" w:type="dxa"/>
          <w:left w:w="0" w:type="dxa"/>
          <w:bottom w:w="0" w:type="dxa"/>
          <w:right w:w="0" w:type="dxa"/>
        </w:tblCellMar>
      </w:tblPr>
      <w:tr>
        <w:trPr>
          <w:trHeight w:val="190"/>
        </w:trPr>
        <w:tc>
          <w:tcPr>
            <w:tcW w:w="6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TOTAL COMPENSATION TO DETERMINE CAP TO PEO</w:t>
            </w: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2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Summary Compensation</w:t>
            </w:r>
          </w:p>
        </w:tc>
        <w:tc>
          <w:tcPr>
            <w:tcW w:w="700" w:type="dxa"/>
            <w:vAlign w:val="bottom"/>
          </w:tcPr>
          <w:p>
            <w:pPr>
              <w:spacing w:after="0"/>
              <w:rPr>
                <w:sz w:val="14"/>
                <w:szCs w:val="14"/>
                <w:color w:val="auto"/>
              </w:rPr>
            </w:pPr>
          </w:p>
        </w:tc>
        <w:tc>
          <w:tcPr>
            <w:tcW w:w="252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Subtract: Value in Stock</w:t>
            </w:r>
          </w:p>
        </w:tc>
        <w:tc>
          <w:tcPr>
            <w:tcW w:w="2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Add: Reconciled Value of</w:t>
            </w:r>
          </w:p>
        </w:tc>
        <w:tc>
          <w:tcPr>
            <w:tcW w:w="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gridSpan w:val="2"/>
            <w:vMerge w:val="continue"/>
          </w:tcPr>
          <w:p>
            <w:pPr>
              <w:spacing w:after="0"/>
              <w:rPr>
                <w:sz w:val="12"/>
                <w:szCs w:val="12"/>
                <w:color w:val="auto"/>
              </w:rPr>
            </w:pPr>
          </w:p>
        </w:tc>
        <w:tc>
          <w:tcPr>
            <w:tcW w:w="322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Awards Column of the Summary Compensation</w:t>
            </w:r>
          </w:p>
        </w:tc>
        <w:tc>
          <w:tcPr>
            <w:tcW w:w="21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CAP to PEO</w:t>
            </w:r>
            <w:r>
              <w:rPr>
                <w:rFonts w:ascii="Times New Roman" w:cs="Times New Roman" w:eastAsia="Times New Roman" w:hAnsi="Times New Roman"/>
                <w:sz w:val="18"/>
                <w:szCs w:val="18"/>
                <w:color w:val="auto"/>
                <w:vertAlign w:val="superscript"/>
              </w:rPr>
              <w:t>(c)</w:t>
            </w:r>
          </w:p>
        </w:tc>
        <w:tc>
          <w:tcPr>
            <w:tcW w:w="0" w:type="dxa"/>
            <w:vAlign w:val="bottom"/>
          </w:tcPr>
          <w:p>
            <w:pPr>
              <w:spacing w:after="0"/>
              <w:rPr>
                <w:sz w:val="1"/>
                <w:szCs w:val="1"/>
                <w:color w:val="auto"/>
              </w:rPr>
            </w:pPr>
          </w:p>
        </w:tc>
      </w:tr>
      <w:tr>
        <w:trPr>
          <w:trHeight w:val="203"/>
        </w:trPr>
        <w:tc>
          <w:tcPr>
            <w:tcW w:w="1140" w:type="dxa"/>
            <w:vAlign w:val="bottom"/>
            <w:tcBorders>
              <w:bottom w:val="single" w:sz="8" w:color="DDDDDD"/>
            </w:tcBorders>
            <w:vMerge w:val="continue"/>
          </w:tcPr>
          <w:p>
            <w:pPr>
              <w:spacing w:after="0"/>
              <w:rPr>
                <w:sz w:val="17"/>
                <w:szCs w:val="17"/>
                <w:color w:val="auto"/>
              </w:rPr>
            </w:pPr>
          </w:p>
        </w:tc>
        <w:tc>
          <w:tcPr>
            <w:tcW w:w="580" w:type="dxa"/>
            <w:vAlign w:val="bottom"/>
            <w:tcBorders>
              <w:bottom w:val="single" w:sz="8" w:color="DDDDDD"/>
            </w:tcBorders>
          </w:tcPr>
          <w:p>
            <w:pPr>
              <w:spacing w:after="0"/>
              <w:rPr>
                <w:sz w:val="17"/>
                <w:szCs w:val="17"/>
                <w:color w:val="auto"/>
              </w:rPr>
            </w:pPr>
          </w:p>
        </w:tc>
        <w:tc>
          <w:tcPr>
            <w:tcW w:w="1660" w:type="dxa"/>
            <w:vAlign w:val="bottom"/>
            <w:tcBorders>
              <w:bottom w:val="single" w:sz="8" w:color="DDDDDD"/>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700" w:type="dxa"/>
            <w:vAlign w:val="bottom"/>
            <w:tcBorders>
              <w:bottom w:val="single" w:sz="8" w:color="DDDDDD"/>
            </w:tcBorders>
          </w:tcPr>
          <w:p>
            <w:pPr>
              <w:spacing w:after="0"/>
              <w:rPr>
                <w:sz w:val="17"/>
                <w:szCs w:val="17"/>
                <w:color w:val="auto"/>
              </w:rPr>
            </w:pPr>
          </w:p>
        </w:tc>
        <w:tc>
          <w:tcPr>
            <w:tcW w:w="2520" w:type="dxa"/>
            <w:vAlign w:val="bottom"/>
            <w:tcBorders>
              <w:bottom w:val="single" w:sz="8" w:color="DDDDDD"/>
            </w:tcBorders>
          </w:tcPr>
          <w:p>
            <w:pPr>
              <w:jc w:val="center"/>
              <w:ind w:right="768"/>
              <w:spacing w:after="0" w:line="202" w:lineRule="exact"/>
              <w:rPr>
                <w:sz w:val="20"/>
                <w:szCs w:val="20"/>
                <w:color w:val="auto"/>
              </w:rPr>
            </w:pPr>
            <w:r>
              <w:rPr>
                <w:rFonts w:ascii="Times New Roman" w:cs="Times New Roman" w:eastAsia="Times New Roman" w:hAnsi="Times New Roman"/>
                <w:sz w:val="14"/>
                <w:szCs w:val="14"/>
                <w:b w:val="1"/>
                <w:bCs w:val="1"/>
                <w:color w:val="auto"/>
                <w:w w:val="92"/>
              </w:rPr>
              <w:t>Table</w:t>
            </w:r>
            <w:r>
              <w:rPr>
                <w:rFonts w:ascii="Times New Roman" w:cs="Times New Roman" w:eastAsia="Times New Roman" w:hAnsi="Times New Roman"/>
                <w:sz w:val="18"/>
                <w:szCs w:val="18"/>
                <w:color w:val="auto"/>
                <w:w w:val="92"/>
                <w:vertAlign w:val="superscript"/>
              </w:rPr>
              <w:t>(a)</w:t>
            </w:r>
          </w:p>
        </w:tc>
        <w:tc>
          <w:tcPr>
            <w:tcW w:w="2180" w:type="dxa"/>
            <w:vAlign w:val="bottom"/>
            <w:tcBorders>
              <w:bottom w:val="single" w:sz="8" w:color="DDDDDD"/>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Equity Awards to PEO</w:t>
            </w:r>
            <w:r>
              <w:rPr>
                <w:rFonts w:ascii="Times New Roman" w:cs="Times New Roman" w:eastAsia="Times New Roman" w:hAnsi="Times New Roman"/>
                <w:sz w:val="9"/>
                <w:szCs w:val="9"/>
                <w:color w:val="auto"/>
              </w:rPr>
              <w:t>(b)</w:t>
            </w:r>
          </w:p>
        </w:tc>
        <w:tc>
          <w:tcPr>
            <w:tcW w:w="600" w:type="dxa"/>
            <w:vAlign w:val="bottom"/>
            <w:tcBorders>
              <w:bottom w:val="single" w:sz="8" w:color="DDDDDD"/>
            </w:tcBorders>
          </w:tcPr>
          <w:p>
            <w:pPr>
              <w:spacing w:after="0"/>
              <w:rPr>
                <w:sz w:val="17"/>
                <w:szCs w:val="17"/>
                <w:color w:val="auto"/>
              </w:rPr>
            </w:pPr>
          </w:p>
        </w:tc>
        <w:tc>
          <w:tcPr>
            <w:tcW w:w="1700" w:type="dxa"/>
            <w:vAlign w:val="bottom"/>
            <w:tcBorders>
              <w:bottom w:val="single" w:sz="8" w:color="DDDDD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4,531,322</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2,420,566</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3,430,218</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right w:val="single" w:sz="8" w:color="DDDDDD"/>
            </w:tcBorders>
          </w:tcPr>
          <w:p>
            <w:pPr>
              <w:jc w:val="right"/>
              <w:ind w:right="548"/>
              <w:spacing w:after="0"/>
              <w:rPr>
                <w:sz w:val="20"/>
                <w:szCs w:val="20"/>
                <w:color w:val="auto"/>
              </w:rPr>
            </w:pPr>
            <w:r>
              <w:rPr>
                <w:rFonts w:ascii="Times New Roman" w:cs="Times New Roman" w:eastAsia="Times New Roman" w:hAnsi="Times New Roman"/>
                <w:sz w:val="14"/>
                <w:szCs w:val="14"/>
                <w:color w:val="auto"/>
              </w:rPr>
              <w:t>5,540,974</w:t>
            </w:r>
          </w:p>
        </w:tc>
        <w:tc>
          <w:tcPr>
            <w:tcW w:w="0" w:type="dxa"/>
            <w:vAlign w:val="bottom"/>
          </w:tcPr>
          <w:p>
            <w:pPr>
              <w:spacing w:after="0"/>
              <w:rPr>
                <w:sz w:val="1"/>
                <w:szCs w:val="1"/>
                <w:color w:val="auto"/>
              </w:rPr>
            </w:pPr>
          </w:p>
        </w:tc>
      </w:tr>
      <w:tr>
        <w:trPr>
          <w:trHeight w:val="37"/>
        </w:trPr>
        <w:tc>
          <w:tcPr>
            <w:tcW w:w="1140" w:type="dxa"/>
            <w:vAlign w:val="bottom"/>
            <w:tcBorders>
              <w:left w:val="single" w:sz="8" w:color="DDDDDD"/>
              <w:bottom w:val="single" w:sz="8" w:color="DDDDDD"/>
              <w:right w:val="single" w:sz="8" w:color="DDDDDD"/>
            </w:tcBorders>
          </w:tcPr>
          <w:p>
            <w:pPr>
              <w:spacing w:after="0"/>
              <w:rPr>
                <w:sz w:val="3"/>
                <w:szCs w:val="3"/>
                <w:color w:val="auto"/>
              </w:rPr>
            </w:pPr>
          </w:p>
        </w:tc>
        <w:tc>
          <w:tcPr>
            <w:tcW w:w="580" w:type="dxa"/>
            <w:vAlign w:val="bottom"/>
            <w:tcBorders>
              <w:bottom w:val="single" w:sz="8" w:color="DDDDDD"/>
            </w:tcBorders>
          </w:tcPr>
          <w:p>
            <w:pPr>
              <w:spacing w:after="0"/>
              <w:rPr>
                <w:sz w:val="3"/>
                <w:szCs w:val="3"/>
                <w:color w:val="auto"/>
              </w:rPr>
            </w:pPr>
          </w:p>
        </w:tc>
        <w:tc>
          <w:tcPr>
            <w:tcW w:w="1660" w:type="dxa"/>
            <w:vAlign w:val="bottom"/>
            <w:tcBorders>
              <w:bottom w:val="single" w:sz="8" w:color="DDDDDD"/>
            </w:tcBorders>
          </w:tcPr>
          <w:p>
            <w:pPr>
              <w:spacing w:after="0"/>
              <w:rPr>
                <w:sz w:val="3"/>
                <w:szCs w:val="3"/>
                <w:color w:val="auto"/>
              </w:rPr>
            </w:pPr>
          </w:p>
        </w:tc>
        <w:tc>
          <w:tcPr>
            <w:tcW w:w="700" w:type="dxa"/>
            <w:vAlign w:val="bottom"/>
            <w:tcBorders>
              <w:bottom w:val="single" w:sz="8" w:color="DDDDDD"/>
            </w:tcBorders>
          </w:tcPr>
          <w:p>
            <w:pPr>
              <w:spacing w:after="0"/>
              <w:rPr>
                <w:sz w:val="3"/>
                <w:szCs w:val="3"/>
                <w:color w:val="auto"/>
              </w:rPr>
            </w:pPr>
          </w:p>
        </w:tc>
        <w:tc>
          <w:tcPr>
            <w:tcW w:w="252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58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70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2024</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4,154,015</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2,026,148</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3,148,744</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right w:val="single" w:sz="8" w:color="DDDDDD"/>
            </w:tcBorders>
          </w:tcPr>
          <w:p>
            <w:pPr>
              <w:jc w:val="right"/>
              <w:ind w:right="548"/>
              <w:spacing w:after="0"/>
              <w:rPr>
                <w:sz w:val="20"/>
                <w:szCs w:val="20"/>
                <w:color w:val="auto"/>
              </w:rPr>
            </w:pPr>
            <w:r>
              <w:rPr>
                <w:rFonts w:ascii="Times New Roman" w:cs="Times New Roman" w:eastAsia="Times New Roman" w:hAnsi="Times New Roman"/>
                <w:sz w:val="14"/>
                <w:szCs w:val="14"/>
                <w:color w:val="auto"/>
              </w:rPr>
              <w:t>5,276,611</w:t>
            </w:r>
          </w:p>
        </w:tc>
        <w:tc>
          <w:tcPr>
            <w:tcW w:w="0" w:type="dxa"/>
            <w:vAlign w:val="bottom"/>
          </w:tcPr>
          <w:p>
            <w:pPr>
              <w:spacing w:after="0"/>
              <w:rPr>
                <w:sz w:val="1"/>
                <w:szCs w:val="1"/>
                <w:color w:val="auto"/>
              </w:rPr>
            </w:pPr>
          </w:p>
        </w:tc>
      </w:tr>
      <w:tr>
        <w:trPr>
          <w:trHeight w:val="37"/>
        </w:trPr>
        <w:tc>
          <w:tcPr>
            <w:tcW w:w="1140" w:type="dxa"/>
            <w:vAlign w:val="bottom"/>
            <w:tcBorders>
              <w:left w:val="single" w:sz="8" w:color="DDDDDD"/>
              <w:bottom w:val="single" w:sz="8" w:color="DBDBDB"/>
              <w:right w:val="single" w:sz="8" w:color="DDDDDD"/>
            </w:tcBorders>
          </w:tcPr>
          <w:p>
            <w:pPr>
              <w:spacing w:after="0"/>
              <w:rPr>
                <w:sz w:val="3"/>
                <w:szCs w:val="3"/>
                <w:color w:val="auto"/>
              </w:rPr>
            </w:pPr>
          </w:p>
        </w:tc>
        <w:tc>
          <w:tcPr>
            <w:tcW w:w="580" w:type="dxa"/>
            <w:vAlign w:val="bottom"/>
            <w:tcBorders>
              <w:bottom w:val="single" w:sz="8" w:color="DDDDDD"/>
            </w:tcBorders>
          </w:tcPr>
          <w:p>
            <w:pPr>
              <w:spacing w:after="0"/>
              <w:rPr>
                <w:sz w:val="3"/>
                <w:szCs w:val="3"/>
                <w:color w:val="auto"/>
              </w:rPr>
            </w:pPr>
          </w:p>
        </w:tc>
        <w:tc>
          <w:tcPr>
            <w:tcW w:w="1660" w:type="dxa"/>
            <w:vAlign w:val="bottom"/>
            <w:tcBorders>
              <w:bottom w:val="single" w:sz="8" w:color="DDDDDD"/>
            </w:tcBorders>
          </w:tcPr>
          <w:p>
            <w:pPr>
              <w:spacing w:after="0"/>
              <w:rPr>
                <w:sz w:val="3"/>
                <w:szCs w:val="3"/>
                <w:color w:val="auto"/>
              </w:rPr>
            </w:pPr>
          </w:p>
        </w:tc>
        <w:tc>
          <w:tcPr>
            <w:tcW w:w="700" w:type="dxa"/>
            <w:vAlign w:val="bottom"/>
            <w:tcBorders>
              <w:bottom w:val="single" w:sz="8" w:color="DDDDDD"/>
            </w:tcBorders>
          </w:tcPr>
          <w:p>
            <w:pPr>
              <w:spacing w:after="0"/>
              <w:rPr>
                <w:sz w:val="3"/>
                <w:szCs w:val="3"/>
                <w:color w:val="auto"/>
              </w:rPr>
            </w:pPr>
          </w:p>
        </w:tc>
        <w:tc>
          <w:tcPr>
            <w:tcW w:w="252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58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70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3,269,505</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1,664,792</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1,760,134</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right w:val="single" w:sz="8" w:color="DDDDDD"/>
            </w:tcBorders>
          </w:tcPr>
          <w:p>
            <w:pPr>
              <w:jc w:val="right"/>
              <w:ind w:right="548"/>
              <w:spacing w:after="0"/>
              <w:rPr>
                <w:sz w:val="20"/>
                <w:szCs w:val="20"/>
                <w:color w:val="auto"/>
              </w:rPr>
            </w:pPr>
            <w:r>
              <w:rPr>
                <w:rFonts w:ascii="Times New Roman" w:cs="Times New Roman" w:eastAsia="Times New Roman" w:hAnsi="Times New Roman"/>
                <w:sz w:val="14"/>
                <w:szCs w:val="14"/>
                <w:color w:val="auto"/>
              </w:rPr>
              <w:t>3,364,847</w:t>
            </w:r>
          </w:p>
        </w:tc>
        <w:tc>
          <w:tcPr>
            <w:tcW w:w="0" w:type="dxa"/>
            <w:vAlign w:val="bottom"/>
          </w:tcPr>
          <w:p>
            <w:pPr>
              <w:spacing w:after="0"/>
              <w:rPr>
                <w:sz w:val="1"/>
                <w:szCs w:val="1"/>
                <w:color w:val="auto"/>
              </w:rPr>
            </w:pPr>
          </w:p>
        </w:tc>
      </w:tr>
      <w:tr>
        <w:trPr>
          <w:trHeight w:val="37"/>
        </w:trPr>
        <w:tc>
          <w:tcPr>
            <w:tcW w:w="1140" w:type="dxa"/>
            <w:vAlign w:val="bottom"/>
            <w:tcBorders>
              <w:left w:val="single" w:sz="8" w:color="DDDDDD"/>
              <w:bottom w:val="single" w:sz="8" w:color="DBDBDB"/>
              <w:right w:val="single" w:sz="8" w:color="DDDDDD"/>
            </w:tcBorders>
          </w:tcPr>
          <w:p>
            <w:pPr>
              <w:spacing w:after="0"/>
              <w:rPr>
                <w:sz w:val="3"/>
                <w:szCs w:val="3"/>
                <w:color w:val="auto"/>
              </w:rPr>
            </w:pPr>
          </w:p>
        </w:tc>
        <w:tc>
          <w:tcPr>
            <w:tcW w:w="580" w:type="dxa"/>
            <w:vAlign w:val="bottom"/>
            <w:tcBorders>
              <w:bottom w:val="single" w:sz="8" w:color="DDDDDD"/>
            </w:tcBorders>
          </w:tcPr>
          <w:p>
            <w:pPr>
              <w:spacing w:after="0"/>
              <w:rPr>
                <w:sz w:val="3"/>
                <w:szCs w:val="3"/>
                <w:color w:val="auto"/>
              </w:rPr>
            </w:pPr>
          </w:p>
        </w:tc>
        <w:tc>
          <w:tcPr>
            <w:tcW w:w="1660" w:type="dxa"/>
            <w:vAlign w:val="bottom"/>
            <w:tcBorders>
              <w:bottom w:val="single" w:sz="8" w:color="DDDDDD"/>
            </w:tcBorders>
          </w:tcPr>
          <w:p>
            <w:pPr>
              <w:spacing w:after="0"/>
              <w:rPr>
                <w:sz w:val="3"/>
                <w:szCs w:val="3"/>
                <w:color w:val="auto"/>
              </w:rPr>
            </w:pPr>
          </w:p>
        </w:tc>
        <w:tc>
          <w:tcPr>
            <w:tcW w:w="700" w:type="dxa"/>
            <w:vAlign w:val="bottom"/>
            <w:tcBorders>
              <w:bottom w:val="single" w:sz="8" w:color="DDDDDD"/>
            </w:tcBorders>
          </w:tcPr>
          <w:p>
            <w:pPr>
              <w:spacing w:after="0"/>
              <w:rPr>
                <w:sz w:val="3"/>
                <w:szCs w:val="3"/>
                <w:color w:val="auto"/>
              </w:rPr>
            </w:pPr>
          </w:p>
        </w:tc>
        <w:tc>
          <w:tcPr>
            <w:tcW w:w="252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58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70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2,768,416</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1,209,353</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185,388</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right w:val="single" w:sz="8" w:color="DDDDDD"/>
            </w:tcBorders>
          </w:tcPr>
          <w:p>
            <w:pPr>
              <w:jc w:val="right"/>
              <w:ind w:right="548"/>
              <w:spacing w:after="0"/>
              <w:rPr>
                <w:sz w:val="20"/>
                <w:szCs w:val="20"/>
                <w:color w:val="auto"/>
              </w:rPr>
            </w:pPr>
            <w:r>
              <w:rPr>
                <w:rFonts w:ascii="Times New Roman" w:cs="Times New Roman" w:eastAsia="Times New Roman" w:hAnsi="Times New Roman"/>
                <w:sz w:val="14"/>
                <w:szCs w:val="14"/>
                <w:color w:val="auto"/>
              </w:rPr>
              <w:t>1,744,451</w:t>
            </w:r>
          </w:p>
        </w:tc>
        <w:tc>
          <w:tcPr>
            <w:tcW w:w="0" w:type="dxa"/>
            <w:vAlign w:val="bottom"/>
          </w:tcPr>
          <w:p>
            <w:pPr>
              <w:spacing w:after="0"/>
              <w:rPr>
                <w:sz w:val="1"/>
                <w:szCs w:val="1"/>
                <w:color w:val="auto"/>
              </w:rPr>
            </w:pPr>
          </w:p>
        </w:tc>
      </w:tr>
      <w:tr>
        <w:trPr>
          <w:trHeight w:val="37"/>
        </w:trPr>
        <w:tc>
          <w:tcPr>
            <w:tcW w:w="1140" w:type="dxa"/>
            <w:vAlign w:val="bottom"/>
            <w:tcBorders>
              <w:left w:val="single" w:sz="8" w:color="DDDDDD"/>
              <w:bottom w:val="single" w:sz="8" w:color="DBDBDB"/>
              <w:right w:val="single" w:sz="8" w:color="DDDDDD"/>
            </w:tcBorders>
          </w:tcPr>
          <w:p>
            <w:pPr>
              <w:spacing w:after="0"/>
              <w:rPr>
                <w:sz w:val="3"/>
                <w:szCs w:val="3"/>
                <w:color w:val="auto"/>
              </w:rPr>
            </w:pPr>
          </w:p>
        </w:tc>
        <w:tc>
          <w:tcPr>
            <w:tcW w:w="580" w:type="dxa"/>
            <w:vAlign w:val="bottom"/>
            <w:tcBorders>
              <w:bottom w:val="single" w:sz="8" w:color="DDDDDD"/>
            </w:tcBorders>
          </w:tcPr>
          <w:p>
            <w:pPr>
              <w:spacing w:after="0"/>
              <w:rPr>
                <w:sz w:val="3"/>
                <w:szCs w:val="3"/>
                <w:color w:val="auto"/>
              </w:rPr>
            </w:pPr>
          </w:p>
        </w:tc>
        <w:tc>
          <w:tcPr>
            <w:tcW w:w="1660" w:type="dxa"/>
            <w:vAlign w:val="bottom"/>
            <w:tcBorders>
              <w:bottom w:val="single" w:sz="8" w:color="DDDDDD"/>
            </w:tcBorders>
          </w:tcPr>
          <w:p>
            <w:pPr>
              <w:spacing w:after="0"/>
              <w:rPr>
                <w:sz w:val="3"/>
                <w:szCs w:val="3"/>
                <w:color w:val="auto"/>
              </w:rPr>
            </w:pPr>
          </w:p>
        </w:tc>
        <w:tc>
          <w:tcPr>
            <w:tcW w:w="700" w:type="dxa"/>
            <w:vAlign w:val="bottom"/>
            <w:tcBorders>
              <w:bottom w:val="single" w:sz="8" w:color="DDDDDD"/>
            </w:tcBorders>
          </w:tcPr>
          <w:p>
            <w:pPr>
              <w:spacing w:after="0"/>
              <w:rPr>
                <w:sz w:val="3"/>
                <w:szCs w:val="3"/>
                <w:color w:val="auto"/>
              </w:rPr>
            </w:pPr>
          </w:p>
        </w:tc>
        <w:tc>
          <w:tcPr>
            <w:tcW w:w="252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58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70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2,836,970</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1,122,109</w:t>
            </w: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4,415,293</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right w:val="single" w:sz="8" w:color="DDDDDD"/>
            </w:tcBorders>
          </w:tcPr>
          <w:p>
            <w:pPr>
              <w:jc w:val="right"/>
              <w:ind w:right="548"/>
              <w:spacing w:after="0"/>
              <w:rPr>
                <w:sz w:val="20"/>
                <w:szCs w:val="20"/>
                <w:color w:val="auto"/>
              </w:rPr>
            </w:pPr>
            <w:r>
              <w:rPr>
                <w:rFonts w:ascii="Times New Roman" w:cs="Times New Roman" w:eastAsia="Times New Roman" w:hAnsi="Times New Roman"/>
                <w:sz w:val="14"/>
                <w:szCs w:val="14"/>
                <w:color w:val="auto"/>
              </w:rPr>
              <w:t>6,130,154</w:t>
            </w:r>
          </w:p>
        </w:tc>
        <w:tc>
          <w:tcPr>
            <w:tcW w:w="0" w:type="dxa"/>
            <w:vAlign w:val="bottom"/>
          </w:tcPr>
          <w:p>
            <w:pPr>
              <w:spacing w:after="0"/>
              <w:rPr>
                <w:sz w:val="1"/>
                <w:szCs w:val="1"/>
                <w:color w:val="auto"/>
              </w:rPr>
            </w:pPr>
          </w:p>
        </w:tc>
      </w:tr>
      <w:tr>
        <w:trPr>
          <w:trHeight w:val="37"/>
        </w:trPr>
        <w:tc>
          <w:tcPr>
            <w:tcW w:w="1140" w:type="dxa"/>
            <w:vAlign w:val="bottom"/>
            <w:tcBorders>
              <w:left w:val="single" w:sz="8" w:color="DDDDDD"/>
              <w:bottom w:val="single" w:sz="8" w:color="DBDBDB"/>
              <w:right w:val="single" w:sz="8" w:color="DDDDDD"/>
            </w:tcBorders>
          </w:tcPr>
          <w:p>
            <w:pPr>
              <w:spacing w:after="0"/>
              <w:rPr>
                <w:sz w:val="3"/>
                <w:szCs w:val="3"/>
                <w:color w:val="auto"/>
              </w:rPr>
            </w:pPr>
          </w:p>
        </w:tc>
        <w:tc>
          <w:tcPr>
            <w:tcW w:w="580" w:type="dxa"/>
            <w:vAlign w:val="bottom"/>
            <w:tcBorders>
              <w:bottom w:val="single" w:sz="8" w:color="DDDDDD"/>
            </w:tcBorders>
          </w:tcPr>
          <w:p>
            <w:pPr>
              <w:spacing w:after="0"/>
              <w:rPr>
                <w:sz w:val="3"/>
                <w:szCs w:val="3"/>
                <w:color w:val="auto"/>
              </w:rPr>
            </w:pPr>
          </w:p>
        </w:tc>
        <w:tc>
          <w:tcPr>
            <w:tcW w:w="1660" w:type="dxa"/>
            <w:vAlign w:val="bottom"/>
            <w:tcBorders>
              <w:bottom w:val="single" w:sz="8" w:color="DDDDDD"/>
            </w:tcBorders>
          </w:tcPr>
          <w:p>
            <w:pPr>
              <w:spacing w:after="0"/>
              <w:rPr>
                <w:sz w:val="3"/>
                <w:szCs w:val="3"/>
                <w:color w:val="auto"/>
              </w:rPr>
            </w:pPr>
          </w:p>
        </w:tc>
        <w:tc>
          <w:tcPr>
            <w:tcW w:w="700" w:type="dxa"/>
            <w:vAlign w:val="bottom"/>
            <w:tcBorders>
              <w:bottom w:val="single" w:sz="8" w:color="DDDDDD"/>
            </w:tcBorders>
          </w:tcPr>
          <w:p>
            <w:pPr>
              <w:spacing w:after="0"/>
              <w:rPr>
                <w:sz w:val="3"/>
                <w:szCs w:val="3"/>
                <w:color w:val="auto"/>
              </w:rPr>
            </w:pPr>
          </w:p>
        </w:tc>
        <w:tc>
          <w:tcPr>
            <w:tcW w:w="252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580" w:type="dxa"/>
            <w:vAlign w:val="bottom"/>
            <w:tcBorders>
              <w:bottom w:val="single" w:sz="8" w:color="DDDDDD"/>
            </w:tcBorders>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170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40" w:hanging="151"/>
        <w:spacing w:after="0"/>
        <w:tabs>
          <w:tab w:leader="none" w:pos="240"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grant date fair value of equity awards reported in the Stock Awards column in the Summary Compensation Table for the applicable year.</w:t>
      </w:r>
    </w:p>
    <w:p>
      <w:pPr>
        <w:spacing w:after="0" w:line="3" w:lineRule="exact"/>
        <w:rPr>
          <w:rFonts w:ascii="Times New Roman" w:cs="Times New Roman" w:eastAsia="Times New Roman" w:hAnsi="Times New Roman"/>
          <w:sz w:val="19"/>
          <w:szCs w:val="19"/>
          <w:i w:val="1"/>
          <w:iCs w:val="1"/>
          <w:color w:val="auto"/>
          <w:vertAlign w:val="superscript"/>
        </w:rPr>
      </w:pPr>
    </w:p>
    <w:p>
      <w:pPr>
        <w:ind w:left="240" w:hanging="151"/>
        <w:spacing w:after="0" w:line="189" w:lineRule="auto"/>
        <w:tabs>
          <w:tab w:leader="none" w:pos="240"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amounts deducted or added (as applicable) in calculating the equity award adjustments for each applicable year are provided in the Equity Reconciliation for CAP to NEOs Table below.</w:t>
      </w:r>
    </w:p>
    <w:p>
      <w:pPr>
        <w:spacing w:after="0" w:line="3" w:lineRule="exact"/>
        <w:rPr>
          <w:rFonts w:ascii="Times New Roman" w:cs="Times New Roman" w:eastAsia="Times New Roman" w:hAnsi="Times New Roman"/>
          <w:sz w:val="19"/>
          <w:szCs w:val="19"/>
          <w:i w:val="1"/>
          <w:iCs w:val="1"/>
          <w:color w:val="auto"/>
          <w:vertAlign w:val="superscript"/>
        </w:rPr>
      </w:pPr>
    </w:p>
    <w:p>
      <w:pPr>
        <w:jc w:val="both"/>
        <w:ind w:left="260" w:hanging="171"/>
        <w:spacing w:after="0" w:line="209" w:lineRule="auto"/>
        <w:tabs>
          <w:tab w:leader="none" w:pos="239"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There is no compensation that needs to be included for equity awards granted and vested in the same year, equity awards that failed to meet vesting conditions in the year ended, or dividends or other earnings paid on equity awards not otherwise reflected in total compensation for Mr. Householder. No values are shown for pension benefit adjustments because (i) there are no service costs for services rendered during the applicable years because the Pension Plan was frozen prior to the applicable years and formally terminated in 2021, and (ii) there are no prior service costs because no additional benefits were granted in a plan amendment during the applicable years. Mr. Householder did not participate in the Pension Plan. None of the NEOs participate in the Company’s non-qualified Pension SERP Plan.</w:t>
      </w:r>
    </w:p>
    <w:p>
      <w:pPr>
        <w:spacing w:after="0" w:line="2" w:lineRule="exact"/>
        <w:rPr>
          <w:sz w:val="20"/>
          <w:szCs w:val="20"/>
          <w:color w:val="auto"/>
        </w:rPr>
      </w:pPr>
    </w:p>
    <w:p>
      <w:pPr>
        <w:ind w:left="80"/>
        <w:spacing w:after="0" w:line="243" w:lineRule="auto"/>
        <w:rPr>
          <w:sz w:val="20"/>
          <w:szCs w:val="20"/>
          <w:color w:val="auto"/>
        </w:rPr>
      </w:pPr>
      <w:r>
        <w:rPr>
          <w:rFonts w:ascii="Times New Roman" w:cs="Times New Roman" w:eastAsia="Times New Roman" w:hAnsi="Times New Roman"/>
          <w:sz w:val="14"/>
          <w:szCs w:val="14"/>
          <w:i w:val="1"/>
          <w:iCs w:val="1"/>
          <w:color w:val="auto"/>
        </w:rPr>
        <w:t>In accordance with the requirements of Item 402(v) of Regulation S-K, the following adjustments were made to Ms. Cooper and Messrs. Moriarty, Sylvester and Webber's total compensation, on average, for the five fiscal years ended 2021 through 2025, as applicable, to determine Compensation Actually Paid:</w:t>
      </w:r>
    </w:p>
    <w:p>
      <w:pPr>
        <w:spacing w:after="0" w:line="91" w:lineRule="exact"/>
        <w:rPr>
          <w:sz w:val="20"/>
          <w:szCs w:val="20"/>
          <w:color w:val="auto"/>
        </w:rPr>
      </w:pPr>
    </w:p>
    <w:tbl>
      <w:tblPr>
        <w:tblLayout w:type="fixed"/>
        <w:tblInd w:w="90" w:type="dxa"/>
        <w:tblCellMar>
          <w:top w:w="0" w:type="dxa"/>
          <w:left w:w="0" w:type="dxa"/>
          <w:bottom w:w="0" w:type="dxa"/>
          <w:right w:w="0" w:type="dxa"/>
        </w:tblCellMar>
      </w:tblPr>
      <w:tr>
        <w:trPr>
          <w:trHeight w:val="190"/>
        </w:trPr>
        <w:tc>
          <w:tcPr>
            <w:tcW w:w="6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TOTAL COMPENSATION TO DETERMINE CAP TO NON-PEO NEOs</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Subtract: Average Value</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Subtract: Average Value in</w:t>
            </w:r>
          </w:p>
        </w:tc>
        <w:tc>
          <w:tcPr>
            <w:tcW w:w="380" w:type="dxa"/>
            <w:vAlign w:val="bottom"/>
          </w:tcPr>
          <w:p>
            <w:pPr>
              <w:spacing w:after="0"/>
              <w:rPr>
                <w:sz w:val="18"/>
                <w:szCs w:val="18"/>
                <w:color w:val="auto"/>
              </w:rPr>
            </w:pPr>
          </w:p>
        </w:tc>
        <w:tc>
          <w:tcPr>
            <w:tcW w:w="14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Add: Average</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62"/>
        </w:trPr>
        <w:tc>
          <w:tcPr>
            <w:tcW w:w="114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380" w:type="dxa"/>
            <w:vAlign w:val="bottom"/>
          </w:tcPr>
          <w:p>
            <w:pPr>
              <w:spacing w:after="0"/>
              <w:rPr>
                <w:sz w:val="14"/>
                <w:szCs w:val="14"/>
                <w:color w:val="auto"/>
              </w:rPr>
            </w:pPr>
          </w:p>
        </w:tc>
        <w:tc>
          <w:tcPr>
            <w:tcW w:w="160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in Stock Awards</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Pension Value and</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Reconciled Value of</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4"/>
        </w:trPr>
        <w:tc>
          <w:tcPr>
            <w:tcW w:w="1140" w:type="dxa"/>
            <w:vAlign w:val="bottom"/>
          </w:tcPr>
          <w:p>
            <w:pPr>
              <w:spacing w:after="0"/>
              <w:rPr>
                <w:sz w:val="15"/>
                <w:szCs w:val="15"/>
                <w:color w:val="auto"/>
              </w:rPr>
            </w:pPr>
          </w:p>
        </w:tc>
        <w:tc>
          <w:tcPr>
            <w:tcW w:w="182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of the Summary</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NQDC Earnings Column of</w:t>
            </w:r>
          </w:p>
        </w:tc>
        <w:tc>
          <w:tcPr>
            <w:tcW w:w="380" w:type="dxa"/>
            <w:vAlign w:val="bottom"/>
          </w:tcPr>
          <w:p>
            <w:pPr>
              <w:spacing w:after="0"/>
              <w:rPr>
                <w:sz w:val="15"/>
                <w:szCs w:val="15"/>
                <w:color w:val="auto"/>
              </w:rPr>
            </w:pPr>
          </w:p>
        </w:tc>
        <w:tc>
          <w:tcPr>
            <w:tcW w:w="14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Equity Awards to</w:t>
            </w:r>
          </w:p>
        </w:tc>
        <w:tc>
          <w:tcPr>
            <w:tcW w:w="360" w:type="dxa"/>
            <w:vAlign w:val="bottom"/>
          </w:tcPr>
          <w:p>
            <w:pPr>
              <w:spacing w:after="0"/>
              <w:rPr>
                <w:sz w:val="15"/>
                <w:szCs w:val="15"/>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Average CAP to</w:t>
            </w:r>
          </w:p>
        </w:tc>
      </w:tr>
      <w:tr>
        <w:trPr>
          <w:trHeight w:val="228"/>
        </w:trPr>
        <w:tc>
          <w:tcPr>
            <w:tcW w:w="114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Borders>
              <w:bottom w:val="single" w:sz="8" w:color="DDDDDD"/>
            </w:tcBorders>
          </w:tcPr>
          <w:p>
            <w:pPr>
              <w:spacing w:after="0"/>
              <w:rPr>
                <w:sz w:val="19"/>
                <w:szCs w:val="19"/>
                <w:color w:val="auto"/>
              </w:rPr>
            </w:pPr>
          </w:p>
        </w:tc>
        <w:tc>
          <w:tcPr>
            <w:tcW w:w="1380" w:type="dxa"/>
            <w:vAlign w:val="bottom"/>
            <w:tcBorders>
              <w:bottom w:val="single" w:sz="8" w:color="DDDDDD"/>
            </w:tcBorders>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980" w:type="dxa"/>
            <w:vAlign w:val="bottom"/>
            <w:tcBorders>
              <w:bottom w:val="single" w:sz="8" w:color="DDDDDD"/>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Table</w:t>
            </w:r>
            <w:r>
              <w:rPr>
                <w:rFonts w:ascii="Times New Roman" w:cs="Times New Roman" w:eastAsia="Times New Roman" w:hAnsi="Times New Roman"/>
                <w:sz w:val="18"/>
                <w:szCs w:val="18"/>
                <w:color w:val="auto"/>
                <w:w w:val="98"/>
                <w:vertAlign w:val="superscript"/>
              </w:rPr>
              <w:t>(a)</w:t>
            </w:r>
          </w:p>
        </w:tc>
        <w:tc>
          <w:tcPr>
            <w:tcW w:w="2560" w:type="dxa"/>
            <w:vAlign w:val="bottom"/>
            <w:tcBorders>
              <w:bottom w:val="single" w:sz="8" w:color="DDDDDD"/>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Summary Compensation Table</w:t>
            </w:r>
            <w:r>
              <w:rPr>
                <w:rFonts w:ascii="Times New Roman" w:cs="Times New Roman" w:eastAsia="Times New Roman" w:hAnsi="Times New Roman"/>
                <w:sz w:val="18"/>
                <w:szCs w:val="18"/>
                <w:color w:val="auto"/>
                <w:w w:val="99"/>
                <w:vertAlign w:val="superscript"/>
              </w:rPr>
              <w:t>(b)</w:t>
            </w:r>
          </w:p>
        </w:tc>
        <w:tc>
          <w:tcPr>
            <w:tcW w:w="380" w:type="dxa"/>
            <w:vAlign w:val="bottom"/>
            <w:tcBorders>
              <w:bottom w:val="single" w:sz="8" w:color="DDDDDD"/>
            </w:tcBorders>
          </w:tcPr>
          <w:p>
            <w:pPr>
              <w:spacing w:after="0"/>
              <w:rPr>
                <w:sz w:val="19"/>
                <w:szCs w:val="19"/>
                <w:color w:val="auto"/>
              </w:rPr>
            </w:pPr>
          </w:p>
        </w:tc>
        <w:tc>
          <w:tcPr>
            <w:tcW w:w="1480" w:type="dxa"/>
            <w:vAlign w:val="bottom"/>
            <w:tcBorders>
              <w:bottom w:val="single" w:sz="8" w:color="DDDDDD"/>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Non-PEO NEOs</w:t>
            </w:r>
            <w:r>
              <w:rPr>
                <w:rFonts w:ascii="Times New Roman" w:cs="Times New Roman" w:eastAsia="Times New Roman" w:hAnsi="Times New Roman"/>
                <w:sz w:val="18"/>
                <w:szCs w:val="18"/>
                <w:color w:val="auto"/>
                <w:w w:val="99"/>
                <w:vertAlign w:val="superscript"/>
              </w:rPr>
              <w:t>(c)</w:t>
            </w:r>
          </w:p>
        </w:tc>
        <w:tc>
          <w:tcPr>
            <w:tcW w:w="1720" w:type="dxa"/>
            <w:vAlign w:val="bottom"/>
            <w:tcBorders>
              <w:bottom w:val="single" w:sz="8" w:color="DDDDDD"/>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Non-PEO NEOs</w:t>
            </w:r>
            <w:r>
              <w:rPr>
                <w:rFonts w:ascii="Times New Roman" w:cs="Times New Roman" w:eastAsia="Times New Roman" w:hAnsi="Times New Roman"/>
                <w:sz w:val="18"/>
                <w:szCs w:val="18"/>
                <w:color w:val="auto"/>
                <w:vertAlign w:val="superscript"/>
              </w:rPr>
              <w:t>(d)</w:t>
            </w: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1,334,527</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542,338</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815,840</w:t>
            </w:r>
          </w:p>
        </w:tc>
        <w:tc>
          <w:tcPr>
            <w:tcW w:w="36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right w:val="single" w:sz="8" w:color="DDDDDD"/>
            </w:tcBorders>
          </w:tcPr>
          <w:p>
            <w:pPr>
              <w:jc w:val="right"/>
              <w:ind w:right="348"/>
              <w:spacing w:after="0"/>
              <w:rPr>
                <w:sz w:val="20"/>
                <w:szCs w:val="20"/>
                <w:color w:val="auto"/>
              </w:rPr>
            </w:pPr>
            <w:r>
              <w:rPr>
                <w:rFonts w:ascii="Times New Roman" w:cs="Times New Roman" w:eastAsia="Times New Roman" w:hAnsi="Times New Roman"/>
                <w:sz w:val="14"/>
                <w:szCs w:val="14"/>
                <w:color w:val="auto"/>
              </w:rPr>
              <w:t>1,608,029</w:t>
            </w:r>
          </w:p>
        </w:tc>
      </w:tr>
      <w:tr>
        <w:trPr>
          <w:trHeight w:val="37"/>
        </w:trPr>
        <w:tc>
          <w:tcPr>
            <w:tcW w:w="1140" w:type="dxa"/>
            <w:vAlign w:val="bottom"/>
            <w:tcBorders>
              <w:left w:val="single" w:sz="8" w:color="DDDDDD"/>
              <w:bottom w:val="single" w:sz="8" w:color="DDDDDD"/>
              <w:right w:val="single" w:sz="8" w:color="DDDDDD"/>
            </w:tcBorders>
          </w:tcPr>
          <w:p>
            <w:pPr>
              <w:spacing w:after="0"/>
              <w:rPr>
                <w:sz w:val="3"/>
                <w:szCs w:val="3"/>
                <w:color w:val="auto"/>
              </w:rPr>
            </w:pPr>
          </w:p>
        </w:tc>
        <w:tc>
          <w:tcPr>
            <w:tcW w:w="440" w:type="dxa"/>
            <w:vAlign w:val="bottom"/>
            <w:tcBorders>
              <w:bottom w:val="single" w:sz="8" w:color="DDDDDD"/>
            </w:tcBorders>
          </w:tcPr>
          <w:p>
            <w:pPr>
              <w:spacing w:after="0"/>
              <w:rPr>
                <w:sz w:val="3"/>
                <w:szCs w:val="3"/>
                <w:color w:val="auto"/>
              </w:rPr>
            </w:pPr>
          </w:p>
        </w:tc>
        <w:tc>
          <w:tcPr>
            <w:tcW w:w="13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60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480" w:type="dxa"/>
            <w:vAlign w:val="bottom"/>
            <w:tcBorders>
              <w:bottom w:val="single" w:sz="8" w:color="DDDDDD"/>
            </w:tcBorders>
          </w:tcPr>
          <w:p>
            <w:pPr>
              <w:spacing w:after="0"/>
              <w:rPr>
                <w:sz w:val="3"/>
                <w:szCs w:val="3"/>
                <w:color w:val="auto"/>
              </w:rPr>
            </w:pPr>
          </w:p>
        </w:tc>
        <w:tc>
          <w:tcPr>
            <w:tcW w:w="360" w:type="dxa"/>
            <w:vAlign w:val="bottom"/>
            <w:tcBorders>
              <w:bottom w:val="single" w:sz="8" w:color="DDDDDD"/>
            </w:tcBorders>
          </w:tcPr>
          <w:p>
            <w:pPr>
              <w:spacing w:after="0"/>
              <w:rPr>
                <w:sz w:val="3"/>
                <w:szCs w:val="3"/>
                <w:color w:val="auto"/>
              </w:rPr>
            </w:pPr>
          </w:p>
        </w:tc>
        <w:tc>
          <w:tcPr>
            <w:tcW w:w="1360" w:type="dxa"/>
            <w:vAlign w:val="bottom"/>
            <w:tcBorders>
              <w:bottom w:val="single" w:sz="8" w:color="DDDDDD"/>
              <w:right w:val="single" w:sz="8" w:color="DDDDDD"/>
            </w:tcBorders>
          </w:tcPr>
          <w:p>
            <w:pPr>
              <w:spacing w:after="0"/>
              <w:rPr>
                <w:sz w:val="3"/>
                <w:szCs w:val="3"/>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1,304,330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518,061</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817,796</w:t>
            </w:r>
          </w:p>
        </w:tc>
        <w:tc>
          <w:tcPr>
            <w:tcW w:w="36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right w:val="single" w:sz="8" w:color="DDDDDD"/>
            </w:tcBorders>
          </w:tcPr>
          <w:p>
            <w:pPr>
              <w:jc w:val="right"/>
              <w:ind w:right="348"/>
              <w:spacing w:after="0"/>
              <w:rPr>
                <w:sz w:val="20"/>
                <w:szCs w:val="20"/>
                <w:color w:val="auto"/>
              </w:rPr>
            </w:pPr>
            <w:r>
              <w:rPr>
                <w:rFonts w:ascii="Times New Roman" w:cs="Times New Roman" w:eastAsia="Times New Roman" w:hAnsi="Times New Roman"/>
                <w:sz w:val="14"/>
                <w:szCs w:val="14"/>
                <w:color w:val="auto"/>
              </w:rPr>
              <w:t>1,604,065</w:t>
            </w:r>
          </w:p>
        </w:tc>
      </w:tr>
      <w:tr>
        <w:trPr>
          <w:trHeight w:val="37"/>
        </w:trPr>
        <w:tc>
          <w:tcPr>
            <w:tcW w:w="1140" w:type="dxa"/>
            <w:vAlign w:val="bottom"/>
            <w:tcBorders>
              <w:left w:val="single" w:sz="8" w:color="DDDDDD"/>
              <w:bottom w:val="single" w:sz="8" w:color="DDDDDD"/>
              <w:right w:val="single" w:sz="8" w:color="DDDDDD"/>
            </w:tcBorders>
          </w:tcPr>
          <w:p>
            <w:pPr>
              <w:spacing w:after="0"/>
              <w:rPr>
                <w:sz w:val="3"/>
                <w:szCs w:val="3"/>
                <w:color w:val="auto"/>
              </w:rPr>
            </w:pPr>
          </w:p>
        </w:tc>
        <w:tc>
          <w:tcPr>
            <w:tcW w:w="440" w:type="dxa"/>
            <w:vAlign w:val="bottom"/>
            <w:tcBorders>
              <w:bottom w:val="single" w:sz="8" w:color="DDDDDD"/>
            </w:tcBorders>
          </w:tcPr>
          <w:p>
            <w:pPr>
              <w:spacing w:after="0"/>
              <w:rPr>
                <w:sz w:val="3"/>
                <w:szCs w:val="3"/>
                <w:color w:val="auto"/>
              </w:rPr>
            </w:pPr>
          </w:p>
        </w:tc>
        <w:tc>
          <w:tcPr>
            <w:tcW w:w="13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60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480" w:type="dxa"/>
            <w:vAlign w:val="bottom"/>
            <w:tcBorders>
              <w:bottom w:val="single" w:sz="8" w:color="DDDDDD"/>
            </w:tcBorders>
          </w:tcPr>
          <w:p>
            <w:pPr>
              <w:spacing w:after="0"/>
              <w:rPr>
                <w:sz w:val="3"/>
                <w:szCs w:val="3"/>
                <w:color w:val="auto"/>
              </w:rPr>
            </w:pPr>
          </w:p>
        </w:tc>
        <w:tc>
          <w:tcPr>
            <w:tcW w:w="360" w:type="dxa"/>
            <w:vAlign w:val="bottom"/>
            <w:tcBorders>
              <w:bottom w:val="single" w:sz="8" w:color="DDDDDD"/>
            </w:tcBorders>
          </w:tcPr>
          <w:p>
            <w:pPr>
              <w:spacing w:after="0"/>
              <w:rPr>
                <w:sz w:val="3"/>
                <w:szCs w:val="3"/>
                <w:color w:val="auto"/>
              </w:rPr>
            </w:pPr>
          </w:p>
        </w:tc>
        <w:tc>
          <w:tcPr>
            <w:tcW w:w="1360" w:type="dxa"/>
            <w:vAlign w:val="bottom"/>
            <w:tcBorders>
              <w:bottom w:val="single" w:sz="8" w:color="DDDDDD"/>
              <w:right w:val="single" w:sz="8" w:color="DDDDDD"/>
            </w:tcBorders>
          </w:tcPr>
          <w:p>
            <w:pPr>
              <w:spacing w:after="0"/>
              <w:rPr>
                <w:sz w:val="3"/>
                <w:szCs w:val="3"/>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1,155,639</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440,397</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462,144</w:t>
            </w:r>
          </w:p>
        </w:tc>
        <w:tc>
          <w:tcPr>
            <w:tcW w:w="36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right w:val="single" w:sz="8" w:color="DDDDDD"/>
            </w:tcBorders>
          </w:tcPr>
          <w:p>
            <w:pPr>
              <w:jc w:val="right"/>
              <w:ind w:right="348"/>
              <w:spacing w:after="0"/>
              <w:rPr>
                <w:sz w:val="20"/>
                <w:szCs w:val="20"/>
                <w:color w:val="auto"/>
              </w:rPr>
            </w:pPr>
            <w:r>
              <w:rPr>
                <w:rFonts w:ascii="Times New Roman" w:cs="Times New Roman" w:eastAsia="Times New Roman" w:hAnsi="Times New Roman"/>
                <w:sz w:val="14"/>
                <w:szCs w:val="14"/>
                <w:color w:val="auto"/>
              </w:rPr>
              <w:t>1,177,386</w:t>
            </w:r>
          </w:p>
        </w:tc>
      </w:tr>
      <w:tr>
        <w:trPr>
          <w:trHeight w:val="37"/>
        </w:trPr>
        <w:tc>
          <w:tcPr>
            <w:tcW w:w="1140" w:type="dxa"/>
            <w:vAlign w:val="bottom"/>
            <w:tcBorders>
              <w:left w:val="single" w:sz="8" w:color="DDDDDD"/>
              <w:bottom w:val="single" w:sz="8" w:color="DDDDDD"/>
              <w:right w:val="single" w:sz="8" w:color="DDDDDD"/>
            </w:tcBorders>
          </w:tcPr>
          <w:p>
            <w:pPr>
              <w:spacing w:after="0"/>
              <w:rPr>
                <w:sz w:val="3"/>
                <w:szCs w:val="3"/>
                <w:color w:val="auto"/>
              </w:rPr>
            </w:pPr>
          </w:p>
        </w:tc>
        <w:tc>
          <w:tcPr>
            <w:tcW w:w="440" w:type="dxa"/>
            <w:vAlign w:val="bottom"/>
            <w:tcBorders>
              <w:bottom w:val="single" w:sz="8" w:color="DDDDDD"/>
            </w:tcBorders>
          </w:tcPr>
          <w:p>
            <w:pPr>
              <w:spacing w:after="0"/>
              <w:rPr>
                <w:sz w:val="3"/>
                <w:szCs w:val="3"/>
                <w:color w:val="auto"/>
              </w:rPr>
            </w:pPr>
          </w:p>
        </w:tc>
        <w:tc>
          <w:tcPr>
            <w:tcW w:w="13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60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480" w:type="dxa"/>
            <w:vAlign w:val="bottom"/>
            <w:tcBorders>
              <w:bottom w:val="single" w:sz="8" w:color="DDDDDD"/>
            </w:tcBorders>
          </w:tcPr>
          <w:p>
            <w:pPr>
              <w:spacing w:after="0"/>
              <w:rPr>
                <w:sz w:val="3"/>
                <w:szCs w:val="3"/>
                <w:color w:val="auto"/>
              </w:rPr>
            </w:pPr>
          </w:p>
        </w:tc>
        <w:tc>
          <w:tcPr>
            <w:tcW w:w="360" w:type="dxa"/>
            <w:vAlign w:val="bottom"/>
            <w:tcBorders>
              <w:bottom w:val="single" w:sz="8" w:color="DDDDDD"/>
            </w:tcBorders>
          </w:tcPr>
          <w:p>
            <w:pPr>
              <w:spacing w:after="0"/>
              <w:rPr>
                <w:sz w:val="3"/>
                <w:szCs w:val="3"/>
                <w:color w:val="auto"/>
              </w:rPr>
            </w:pPr>
          </w:p>
        </w:tc>
        <w:tc>
          <w:tcPr>
            <w:tcW w:w="1360" w:type="dxa"/>
            <w:vAlign w:val="bottom"/>
            <w:tcBorders>
              <w:bottom w:val="single" w:sz="8" w:color="DDDDDD"/>
              <w:right w:val="single" w:sz="8" w:color="DDDDDD"/>
            </w:tcBorders>
          </w:tcPr>
          <w:p>
            <w:pPr>
              <w:spacing w:after="0"/>
              <w:rPr>
                <w:sz w:val="3"/>
                <w:szCs w:val="3"/>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938,039</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345,812</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54,277</w:t>
            </w:r>
          </w:p>
        </w:tc>
        <w:tc>
          <w:tcPr>
            <w:tcW w:w="36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right w:val="single" w:sz="8" w:color="DDDDDD"/>
            </w:tcBorders>
          </w:tcPr>
          <w:p>
            <w:pPr>
              <w:jc w:val="right"/>
              <w:ind w:right="348"/>
              <w:spacing w:after="0"/>
              <w:rPr>
                <w:sz w:val="20"/>
                <w:szCs w:val="20"/>
                <w:color w:val="auto"/>
              </w:rPr>
            </w:pPr>
            <w:r>
              <w:rPr>
                <w:rFonts w:ascii="Times New Roman" w:cs="Times New Roman" w:eastAsia="Times New Roman" w:hAnsi="Times New Roman"/>
                <w:sz w:val="14"/>
                <w:szCs w:val="14"/>
                <w:color w:val="auto"/>
              </w:rPr>
              <w:t>646,504</w:t>
            </w:r>
          </w:p>
        </w:tc>
      </w:tr>
      <w:tr>
        <w:trPr>
          <w:trHeight w:val="37"/>
        </w:trPr>
        <w:tc>
          <w:tcPr>
            <w:tcW w:w="1140" w:type="dxa"/>
            <w:vAlign w:val="bottom"/>
            <w:tcBorders>
              <w:left w:val="single" w:sz="8" w:color="DDDDDD"/>
              <w:bottom w:val="single" w:sz="8" w:color="DDDDDD"/>
              <w:right w:val="single" w:sz="8" w:color="DDDDDD"/>
            </w:tcBorders>
          </w:tcPr>
          <w:p>
            <w:pPr>
              <w:spacing w:after="0"/>
              <w:rPr>
                <w:sz w:val="3"/>
                <w:szCs w:val="3"/>
                <w:color w:val="auto"/>
              </w:rPr>
            </w:pPr>
          </w:p>
        </w:tc>
        <w:tc>
          <w:tcPr>
            <w:tcW w:w="440" w:type="dxa"/>
            <w:vAlign w:val="bottom"/>
            <w:tcBorders>
              <w:bottom w:val="single" w:sz="8" w:color="DDDDDD"/>
            </w:tcBorders>
          </w:tcPr>
          <w:p>
            <w:pPr>
              <w:spacing w:after="0"/>
              <w:rPr>
                <w:sz w:val="3"/>
                <w:szCs w:val="3"/>
                <w:color w:val="auto"/>
              </w:rPr>
            </w:pPr>
          </w:p>
        </w:tc>
        <w:tc>
          <w:tcPr>
            <w:tcW w:w="13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60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480" w:type="dxa"/>
            <w:vAlign w:val="bottom"/>
            <w:tcBorders>
              <w:bottom w:val="single" w:sz="8" w:color="DDDDDD"/>
            </w:tcBorders>
          </w:tcPr>
          <w:p>
            <w:pPr>
              <w:spacing w:after="0"/>
              <w:rPr>
                <w:sz w:val="3"/>
                <w:szCs w:val="3"/>
                <w:color w:val="auto"/>
              </w:rPr>
            </w:pPr>
          </w:p>
        </w:tc>
        <w:tc>
          <w:tcPr>
            <w:tcW w:w="360" w:type="dxa"/>
            <w:vAlign w:val="bottom"/>
            <w:tcBorders>
              <w:bottom w:val="single" w:sz="8" w:color="DDDDDD"/>
            </w:tcBorders>
          </w:tcPr>
          <w:p>
            <w:pPr>
              <w:spacing w:after="0"/>
              <w:rPr>
                <w:sz w:val="3"/>
                <w:szCs w:val="3"/>
                <w:color w:val="auto"/>
              </w:rPr>
            </w:pPr>
          </w:p>
        </w:tc>
        <w:tc>
          <w:tcPr>
            <w:tcW w:w="1360" w:type="dxa"/>
            <w:vAlign w:val="bottom"/>
            <w:tcBorders>
              <w:bottom w:val="single" w:sz="8" w:color="DDDDDD"/>
              <w:right w:val="single" w:sz="8" w:color="DDDDDD"/>
            </w:tcBorders>
          </w:tcPr>
          <w:p>
            <w:pPr>
              <w:spacing w:after="0"/>
              <w:rPr>
                <w:sz w:val="3"/>
                <w:szCs w:val="3"/>
                <w:color w:val="auto"/>
              </w:rPr>
            </w:pPr>
          </w:p>
        </w:tc>
      </w:tr>
      <w:tr>
        <w:trPr>
          <w:trHeight w:val="186"/>
        </w:trPr>
        <w:tc>
          <w:tcPr>
            <w:tcW w:w="114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953,892</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325,291</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1,285,512</w:t>
            </w:r>
          </w:p>
        </w:tc>
        <w:tc>
          <w:tcPr>
            <w:tcW w:w="360" w:type="dxa"/>
            <w:vAlign w:val="bottom"/>
          </w:tcPr>
          <w:p>
            <w:pPr>
              <w:ind w:left="300"/>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right w:val="single" w:sz="8" w:color="DDDDDD"/>
            </w:tcBorders>
          </w:tcPr>
          <w:p>
            <w:pPr>
              <w:jc w:val="right"/>
              <w:ind w:right="348"/>
              <w:spacing w:after="0"/>
              <w:rPr>
                <w:sz w:val="20"/>
                <w:szCs w:val="20"/>
                <w:color w:val="auto"/>
              </w:rPr>
            </w:pPr>
            <w:r>
              <w:rPr>
                <w:rFonts w:ascii="Times New Roman" w:cs="Times New Roman" w:eastAsia="Times New Roman" w:hAnsi="Times New Roman"/>
                <w:sz w:val="14"/>
                <w:szCs w:val="14"/>
                <w:color w:val="auto"/>
              </w:rPr>
              <w:t>1,914,113</w:t>
            </w:r>
          </w:p>
        </w:tc>
      </w:tr>
      <w:tr>
        <w:trPr>
          <w:trHeight w:val="37"/>
        </w:trPr>
        <w:tc>
          <w:tcPr>
            <w:tcW w:w="1140" w:type="dxa"/>
            <w:vAlign w:val="bottom"/>
            <w:tcBorders>
              <w:left w:val="single" w:sz="8" w:color="DDDDDD"/>
              <w:bottom w:val="single" w:sz="8" w:color="DDDDDD"/>
              <w:right w:val="single" w:sz="8" w:color="DDDDDD"/>
            </w:tcBorders>
          </w:tcPr>
          <w:p>
            <w:pPr>
              <w:spacing w:after="0"/>
              <w:rPr>
                <w:sz w:val="3"/>
                <w:szCs w:val="3"/>
                <w:color w:val="auto"/>
              </w:rPr>
            </w:pPr>
          </w:p>
        </w:tc>
        <w:tc>
          <w:tcPr>
            <w:tcW w:w="440" w:type="dxa"/>
            <w:vAlign w:val="bottom"/>
            <w:tcBorders>
              <w:bottom w:val="single" w:sz="8" w:color="DDDDDD"/>
            </w:tcBorders>
          </w:tcPr>
          <w:p>
            <w:pPr>
              <w:spacing w:after="0"/>
              <w:rPr>
                <w:sz w:val="3"/>
                <w:szCs w:val="3"/>
                <w:color w:val="auto"/>
              </w:rPr>
            </w:pPr>
          </w:p>
        </w:tc>
        <w:tc>
          <w:tcPr>
            <w:tcW w:w="13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60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1280" w:type="dxa"/>
            <w:vAlign w:val="bottom"/>
            <w:tcBorders>
              <w:bottom w:val="single" w:sz="8" w:color="DDDDDD"/>
            </w:tcBorders>
          </w:tcPr>
          <w:p>
            <w:pPr>
              <w:spacing w:after="0"/>
              <w:rPr>
                <w:sz w:val="3"/>
                <w:szCs w:val="3"/>
                <w:color w:val="auto"/>
              </w:rPr>
            </w:pPr>
          </w:p>
        </w:tc>
        <w:tc>
          <w:tcPr>
            <w:tcW w:w="380" w:type="dxa"/>
            <w:vAlign w:val="bottom"/>
            <w:tcBorders>
              <w:bottom w:val="single" w:sz="8" w:color="DDDDDD"/>
            </w:tcBorders>
          </w:tcPr>
          <w:p>
            <w:pPr>
              <w:spacing w:after="0"/>
              <w:rPr>
                <w:sz w:val="3"/>
                <w:szCs w:val="3"/>
                <w:color w:val="auto"/>
              </w:rPr>
            </w:pPr>
          </w:p>
        </w:tc>
        <w:tc>
          <w:tcPr>
            <w:tcW w:w="1480" w:type="dxa"/>
            <w:vAlign w:val="bottom"/>
            <w:tcBorders>
              <w:bottom w:val="single" w:sz="8" w:color="DDDDDD"/>
            </w:tcBorders>
          </w:tcPr>
          <w:p>
            <w:pPr>
              <w:spacing w:after="0"/>
              <w:rPr>
                <w:sz w:val="3"/>
                <w:szCs w:val="3"/>
                <w:color w:val="auto"/>
              </w:rPr>
            </w:pPr>
          </w:p>
        </w:tc>
        <w:tc>
          <w:tcPr>
            <w:tcW w:w="360" w:type="dxa"/>
            <w:vAlign w:val="bottom"/>
            <w:tcBorders>
              <w:bottom w:val="single" w:sz="8" w:color="DDDDDD"/>
            </w:tcBorders>
          </w:tcPr>
          <w:p>
            <w:pPr>
              <w:spacing w:after="0"/>
              <w:rPr>
                <w:sz w:val="3"/>
                <w:szCs w:val="3"/>
                <w:color w:val="auto"/>
              </w:rPr>
            </w:pPr>
          </w:p>
        </w:tc>
        <w:tc>
          <w:tcPr>
            <w:tcW w:w="1360" w:type="dxa"/>
            <w:vAlign w:val="bottom"/>
            <w:tcBorders>
              <w:bottom w:val="single" w:sz="8" w:color="DDDDDD"/>
              <w:right w:val="single" w:sz="8" w:color="DDDDDD"/>
            </w:tcBorders>
          </w:tcPr>
          <w:p>
            <w:pPr>
              <w:spacing w:after="0"/>
              <w:rPr>
                <w:sz w:val="3"/>
                <w:szCs w:val="3"/>
                <w:color w:val="auto"/>
              </w:rPr>
            </w:pPr>
          </w:p>
        </w:tc>
      </w:tr>
    </w:tbl>
    <w:p>
      <w:pPr>
        <w:spacing w:after="0" w:line="83" w:lineRule="exact"/>
        <w:rPr>
          <w:sz w:val="20"/>
          <w:szCs w:val="20"/>
          <w:color w:val="auto"/>
        </w:rPr>
      </w:pPr>
    </w:p>
    <w:p>
      <w:pPr>
        <w:ind w:left="260" w:hanging="171"/>
        <w:spacing w:after="0" w:line="214" w:lineRule="auto"/>
        <w:tabs>
          <w:tab w:leader="none" w:pos="263" w:val="left"/>
        </w:tabs>
        <w:numPr>
          <w:ilvl w:val="0"/>
          <w:numId w:val="6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grant date fair value of equity awards, on average, reported in the Stock Awards column for Ms. Cooper and Messrs. Moriarty, Sylvester and Webber in the Summary Compensation Table for the applicable year.</w:t>
      </w:r>
    </w:p>
    <w:p>
      <w:pPr>
        <w:spacing w:after="0" w:line="26" w:lineRule="exact"/>
        <w:rPr>
          <w:rFonts w:ascii="Times New Roman" w:cs="Times New Roman" w:eastAsia="Times New Roman" w:hAnsi="Times New Roman"/>
          <w:sz w:val="19"/>
          <w:szCs w:val="19"/>
          <w:i w:val="1"/>
          <w:iCs w:val="1"/>
          <w:color w:val="auto"/>
          <w:vertAlign w:val="superscript"/>
        </w:rPr>
      </w:pPr>
    </w:p>
    <w:p>
      <w:pPr>
        <w:jc w:val="both"/>
        <w:ind w:left="260" w:hanging="171"/>
        <w:spacing w:after="0"/>
        <w:tabs>
          <w:tab w:leader="none" w:pos="248" w:val="left"/>
        </w:tabs>
        <w:numPr>
          <w:ilvl w:val="0"/>
          <w:numId w:val="6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None of the NEOs participated in the Pension Plan except for Ms. Cooper, who received a lump sum payout at termination of the Pension Plan in 2021, which was actuarially equivalent to Ms. Cooper's full vested accrued benefit in the Pension Plan. Ms. Cooper’s change in accumulated benefits under the Pension Plan for 2020 is reported in the applicable row of the Summary Compensation Table in the Company's Proxy Statement filed with the SEC on March 22, 2021, and in the average adjustments to total compensation for calculating CAP to the non-PEO NEOs for year-end 2020 as reflected in the Company's Proxy Statement filed with the SEC on March 25, 2025. None of the NEOs participate in the Company’s non-qualified Pension SERP Plan.</w:t>
      </w:r>
    </w:p>
    <w:p>
      <w:pPr>
        <w:spacing w:after="0" w:line="55" w:lineRule="exact"/>
        <w:rPr>
          <w:rFonts w:ascii="Times New Roman" w:cs="Times New Roman" w:eastAsia="Times New Roman" w:hAnsi="Times New Roman"/>
          <w:sz w:val="19"/>
          <w:szCs w:val="19"/>
          <w:i w:val="1"/>
          <w:iCs w:val="1"/>
          <w:color w:val="auto"/>
          <w:vertAlign w:val="superscript"/>
        </w:rPr>
      </w:pPr>
    </w:p>
    <w:p>
      <w:pPr>
        <w:ind w:left="260" w:hanging="171"/>
        <w:spacing w:after="0" w:line="204" w:lineRule="auto"/>
        <w:tabs>
          <w:tab w:leader="none" w:pos="245" w:val="left"/>
        </w:tabs>
        <w:numPr>
          <w:ilvl w:val="0"/>
          <w:numId w:val="6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amounts deducted or added (as applicable) in calculating the equity award adjustments for each applicable year are provided in the Equity Reconciliation for CAP to Non-PEO NEOs Table below.</w:t>
      </w:r>
    </w:p>
    <w:p>
      <w:pPr>
        <w:spacing w:after="0" w:line="13" w:lineRule="exact"/>
        <w:rPr>
          <w:rFonts w:ascii="Times New Roman" w:cs="Times New Roman" w:eastAsia="Times New Roman" w:hAnsi="Times New Roman"/>
          <w:sz w:val="19"/>
          <w:szCs w:val="19"/>
          <w:i w:val="1"/>
          <w:iCs w:val="1"/>
          <w:color w:val="auto"/>
          <w:vertAlign w:val="superscript"/>
        </w:rPr>
      </w:pPr>
    </w:p>
    <w:p>
      <w:pPr>
        <w:jc w:val="both"/>
        <w:ind w:left="260" w:hanging="171"/>
        <w:spacing w:after="0" w:line="217" w:lineRule="auto"/>
        <w:tabs>
          <w:tab w:leader="none" w:pos="244" w:val="left"/>
        </w:tabs>
        <w:numPr>
          <w:ilvl w:val="0"/>
          <w:numId w:val="6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There is no compensation that needs to be included for equity awards granted and vested in the same year, equity awards that failed to meet vesting conditions in the year ended, or dividends or other earnings paid on equity awards not otherwise reflected in total compensation for the NEOs. No values are shown for pension benefit adjustments because (i) there are no service costs for services rendered during the applicable years because the Pension Plan was frozen prior to the applicable years and formally terminated in 2021, and (ii) there are no prior service costs because no additional benefits were granted in a plan amendment during the applicable years.</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47" w:name="page48"/>
    <w:bookmarkEnd w:id="47"/>
    <w:p>
      <w:pPr>
        <w:ind w:left="80"/>
        <w:spacing w:after="0"/>
        <w:rPr>
          <w:sz w:val="20"/>
          <w:szCs w:val="20"/>
          <w:color w:val="auto"/>
        </w:rPr>
      </w:pPr>
      <w:r>
        <w:rPr>
          <w:rFonts w:ascii="Times New Roman" w:cs="Times New Roman" w:eastAsia="Times New Roman" w:hAnsi="Times New Roman"/>
          <w:sz w:val="14"/>
          <w:szCs w:val="14"/>
          <w:i w:val="1"/>
          <w:iCs w:val="1"/>
          <w:color w:val="auto"/>
        </w:rPr>
        <w:t>The amounts added or deducted, as applicable, in reconciling the equity award adjustments included in calculating CAP to NEOs are as follows:</w:t>
      </w:r>
    </w:p>
    <w:p>
      <w:pPr>
        <w:spacing w:after="0" w:line="82" w:lineRule="exact"/>
        <w:rPr>
          <w:sz w:val="20"/>
          <w:szCs w:val="20"/>
          <w:color w:val="auto"/>
        </w:rPr>
      </w:pPr>
    </w:p>
    <w:tbl>
      <w:tblPr>
        <w:tblLayout w:type="fixed"/>
        <w:tblInd w:w="90" w:type="dxa"/>
        <w:tblCellMar>
          <w:top w:w="0" w:type="dxa"/>
          <w:left w:w="0" w:type="dxa"/>
          <w:bottom w:w="0" w:type="dxa"/>
          <w:right w:w="0" w:type="dxa"/>
        </w:tblCellMar>
      </w:tblPr>
      <w:tr>
        <w:trPr>
          <w:trHeight w:val="190"/>
        </w:trPr>
        <w:tc>
          <w:tcPr>
            <w:tcW w:w="464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EQUITY RECONCILIATION FOR CAP TO PEO AND NON-PEO NEOs</w:t>
            </w: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PEO</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20" w:type="dxa"/>
            <w:vAlign w:val="bottom"/>
          </w:tcPr>
          <w:p>
            <w:pPr>
              <w:spacing w:after="0"/>
              <w:rPr>
                <w:sz w:val="3"/>
                <w:szCs w:val="3"/>
                <w:color w:val="auto"/>
              </w:rPr>
            </w:pPr>
          </w:p>
        </w:tc>
        <w:tc>
          <w:tcPr>
            <w:tcW w:w="140" w:type="dxa"/>
            <w:vAlign w:val="bottom"/>
            <w:tcBorders>
              <w:bottom w:val="single" w:sz="8" w:color="DDDDDD"/>
            </w:tcBorders>
          </w:tcPr>
          <w:p>
            <w:pPr>
              <w:spacing w:after="0"/>
              <w:rPr>
                <w:sz w:val="3"/>
                <w:szCs w:val="3"/>
                <w:color w:val="auto"/>
              </w:rPr>
            </w:pPr>
          </w:p>
        </w:tc>
        <w:tc>
          <w:tcPr>
            <w:tcW w:w="108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240" w:type="dxa"/>
            <w:vAlign w:val="bottom"/>
            <w:tcBorders>
              <w:bottom w:val="single" w:sz="8" w:color="DDDDDD"/>
            </w:tcBorders>
          </w:tcPr>
          <w:p>
            <w:pPr>
              <w:spacing w:after="0"/>
              <w:rPr>
                <w:sz w:val="3"/>
                <w:szCs w:val="3"/>
                <w:color w:val="auto"/>
              </w:rPr>
            </w:pPr>
          </w:p>
        </w:tc>
        <w:tc>
          <w:tcPr>
            <w:tcW w:w="1100" w:type="dxa"/>
            <w:vAlign w:val="bottom"/>
            <w:tcBorders>
              <w:bottom w:val="single" w:sz="8" w:color="DDDDDD"/>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bottom w:val="single" w:sz="8" w:color="DDDDDD"/>
            </w:tcBorders>
          </w:tcPr>
          <w:p>
            <w:pPr>
              <w:spacing w:after="0"/>
              <w:rPr>
                <w:sz w:val="3"/>
                <w:szCs w:val="3"/>
                <w:color w:val="auto"/>
              </w:rPr>
            </w:pPr>
          </w:p>
        </w:tc>
        <w:tc>
          <w:tcPr>
            <w:tcW w:w="94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20" w:type="dxa"/>
            <w:vAlign w:val="bottom"/>
            <w:tcBorders>
              <w:right w:val="single" w:sz="8" w:color="DDDDDD"/>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16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240" w:type="dxa"/>
            <w:vAlign w:val="bottom"/>
          </w:tcPr>
          <w:p>
            <w:pPr>
              <w:spacing w:after="0"/>
              <w:rPr>
                <w:sz w:val="14"/>
                <w:szCs w:val="14"/>
                <w:color w:val="auto"/>
              </w:rPr>
            </w:pPr>
          </w:p>
        </w:tc>
        <w:tc>
          <w:tcPr>
            <w:tcW w:w="1100" w:type="dxa"/>
            <w:vAlign w:val="bottom"/>
            <w:tcBorders>
              <w:right w:val="single" w:sz="8" w:color="DDDDDD"/>
            </w:tcBorders>
          </w:tcPr>
          <w:p>
            <w:pPr>
              <w:spacing w:after="0"/>
              <w:rPr>
                <w:sz w:val="14"/>
                <w:szCs w:val="14"/>
                <w:color w:val="auto"/>
              </w:rPr>
            </w:pPr>
          </w:p>
        </w:tc>
        <w:tc>
          <w:tcPr>
            <w:tcW w:w="360" w:type="dxa"/>
            <w:vAlign w:val="bottom"/>
            <w:tcBorders>
              <w:right w:val="single" w:sz="8" w:color="DDDDDD"/>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Year Over</w:t>
            </w:r>
          </w:p>
        </w:tc>
        <w:tc>
          <w:tcPr>
            <w:tcW w:w="160" w:type="dxa"/>
            <w:vAlign w:val="bottom"/>
          </w:tcPr>
          <w:p>
            <w:pPr>
              <w:spacing w:after="0"/>
              <w:rPr>
                <w:sz w:val="14"/>
                <w:szCs w:val="14"/>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200" w:type="dxa"/>
            <w:vAlign w:val="bottom"/>
          </w:tcPr>
          <w:p>
            <w:pPr>
              <w:spacing w:after="0"/>
              <w:rPr>
                <w:sz w:val="14"/>
                <w:szCs w:val="14"/>
                <w:color w:val="auto"/>
              </w:rPr>
            </w:pPr>
          </w:p>
        </w:tc>
        <w:tc>
          <w:tcPr>
            <w:tcW w:w="1140" w:type="dxa"/>
            <w:vAlign w:val="bottom"/>
            <w:tcBorders>
              <w:right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Borders>
              <w:right w:val="single" w:sz="8" w:color="DDDDDD"/>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240" w:type="dxa"/>
            <w:vAlign w:val="bottom"/>
          </w:tcPr>
          <w:p>
            <w:pPr>
              <w:spacing w:after="0"/>
              <w:rPr>
                <w:sz w:val="14"/>
                <w:szCs w:val="14"/>
                <w:color w:val="auto"/>
              </w:rPr>
            </w:pPr>
          </w:p>
        </w:tc>
        <w:tc>
          <w:tcPr>
            <w:tcW w:w="1100" w:type="dxa"/>
            <w:vAlign w:val="bottom"/>
            <w:tcBorders>
              <w:right w:val="single" w:sz="8" w:color="DDDDDD"/>
            </w:tcBorders>
          </w:tcPr>
          <w:p>
            <w:pPr>
              <w:spacing w:after="0"/>
              <w:rPr>
                <w:sz w:val="14"/>
                <w:szCs w:val="14"/>
                <w:color w:val="auto"/>
              </w:rPr>
            </w:pPr>
          </w:p>
        </w:tc>
        <w:tc>
          <w:tcPr>
            <w:tcW w:w="360" w:type="dxa"/>
            <w:vAlign w:val="bottom"/>
            <w:tcBorders>
              <w:right w:val="single" w:sz="8" w:color="DDDDDD"/>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200" w:type="dxa"/>
            <w:vAlign w:val="bottom"/>
          </w:tcPr>
          <w:p>
            <w:pPr>
              <w:spacing w:after="0"/>
              <w:rPr>
                <w:sz w:val="14"/>
                <w:szCs w:val="14"/>
                <w:color w:val="auto"/>
              </w:rPr>
            </w:pPr>
          </w:p>
        </w:tc>
        <w:tc>
          <w:tcPr>
            <w:tcW w:w="1140" w:type="dxa"/>
            <w:vAlign w:val="bottom"/>
            <w:tcBorders>
              <w:right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tcBorders>
              <w:right w:val="single" w:sz="8" w:color="DDDDDD"/>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Year Change in</w:t>
            </w:r>
          </w:p>
        </w:tc>
        <w:tc>
          <w:tcPr>
            <w:tcW w:w="160" w:type="dxa"/>
            <w:vAlign w:val="bottom"/>
          </w:tcPr>
          <w:p>
            <w:pPr>
              <w:spacing w:after="0"/>
              <w:rPr>
                <w:sz w:val="15"/>
                <w:szCs w:val="15"/>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Value of Equity</w:t>
            </w:r>
          </w:p>
        </w:tc>
        <w:tc>
          <w:tcPr>
            <w:tcW w:w="240" w:type="dxa"/>
            <w:vAlign w:val="bottom"/>
          </w:tcPr>
          <w:p>
            <w:pPr>
              <w:spacing w:after="0"/>
              <w:rPr>
                <w:sz w:val="15"/>
                <w:szCs w:val="15"/>
                <w:color w:val="auto"/>
              </w:rPr>
            </w:pPr>
          </w:p>
        </w:tc>
        <w:tc>
          <w:tcPr>
            <w:tcW w:w="1100" w:type="dxa"/>
            <w:vAlign w:val="bottom"/>
            <w:tcBorders>
              <w:right w:val="single" w:sz="8" w:color="DDDDDD"/>
            </w:tcBorders>
          </w:tcPr>
          <w:p>
            <w:pPr>
              <w:spacing w:after="0"/>
              <w:rPr>
                <w:sz w:val="15"/>
                <w:szCs w:val="15"/>
                <w:color w:val="auto"/>
              </w:rPr>
            </w:pPr>
          </w:p>
        </w:tc>
        <w:tc>
          <w:tcPr>
            <w:tcW w:w="360" w:type="dxa"/>
            <w:vAlign w:val="bottom"/>
            <w:tcBorders>
              <w:right w:val="single" w:sz="8" w:color="DDDDDD"/>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Year Change in</w:t>
            </w:r>
          </w:p>
        </w:tc>
        <w:tc>
          <w:tcPr>
            <w:tcW w:w="160" w:type="dxa"/>
            <w:vAlign w:val="bottom"/>
          </w:tcPr>
          <w:p>
            <w:pPr>
              <w:spacing w:after="0"/>
              <w:rPr>
                <w:sz w:val="15"/>
                <w:szCs w:val="15"/>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Value of Equity</w:t>
            </w:r>
          </w:p>
        </w:tc>
        <w:tc>
          <w:tcPr>
            <w:tcW w:w="200" w:type="dxa"/>
            <w:vAlign w:val="bottom"/>
          </w:tcPr>
          <w:p>
            <w:pPr>
              <w:spacing w:after="0"/>
              <w:rPr>
                <w:sz w:val="15"/>
                <w:szCs w:val="15"/>
                <w:color w:val="auto"/>
              </w:rPr>
            </w:pPr>
          </w:p>
        </w:tc>
        <w:tc>
          <w:tcPr>
            <w:tcW w:w="1140" w:type="dxa"/>
            <w:vAlign w:val="bottom"/>
            <w:tcBorders>
              <w:right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Borders>
              <w:right w:val="single" w:sz="8" w:color="DDDDDD"/>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60" w:type="dxa"/>
            <w:vAlign w:val="bottom"/>
          </w:tcPr>
          <w:p>
            <w:pPr>
              <w:spacing w:after="0"/>
              <w:rPr>
                <w:sz w:val="15"/>
                <w:szCs w:val="15"/>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5"/>
                <w:szCs w:val="15"/>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1100" w:type="dxa"/>
            <w:vAlign w:val="bottom"/>
            <w:tcBorders>
              <w:right w:val="single" w:sz="8" w:color="DDDDDD"/>
            </w:tcBorders>
          </w:tcPr>
          <w:p>
            <w:pPr>
              <w:spacing w:after="0"/>
              <w:rPr>
                <w:sz w:val="15"/>
                <w:szCs w:val="15"/>
                <w:color w:val="auto"/>
              </w:rPr>
            </w:pPr>
          </w:p>
        </w:tc>
        <w:tc>
          <w:tcPr>
            <w:tcW w:w="360" w:type="dxa"/>
            <w:vAlign w:val="bottom"/>
            <w:tcBorders>
              <w:right w:val="single" w:sz="8" w:color="DDDDDD"/>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60" w:type="dxa"/>
            <w:vAlign w:val="bottom"/>
          </w:tcPr>
          <w:p>
            <w:pPr>
              <w:spacing w:after="0"/>
              <w:rPr>
                <w:sz w:val="15"/>
                <w:szCs w:val="15"/>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5"/>
                <w:szCs w:val="15"/>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5"/>
                <w:szCs w:val="15"/>
                <w:color w:val="auto"/>
              </w:rPr>
            </w:pPr>
          </w:p>
        </w:tc>
        <w:tc>
          <w:tcPr>
            <w:tcW w:w="1140" w:type="dxa"/>
            <w:vAlign w:val="bottom"/>
            <w:tcBorders>
              <w:right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0" w:type="dxa"/>
            <w:vAlign w:val="bottom"/>
            <w:tcBorders>
              <w:right w:val="single" w:sz="8" w:color="DDDDDD"/>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4"/>
                <w:szCs w:val="14"/>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240" w:type="dxa"/>
            <w:vAlign w:val="bottom"/>
          </w:tcPr>
          <w:p>
            <w:pPr>
              <w:spacing w:after="0"/>
              <w:rPr>
                <w:sz w:val="14"/>
                <w:szCs w:val="14"/>
                <w:color w:val="auto"/>
              </w:rPr>
            </w:pPr>
          </w:p>
        </w:tc>
        <w:tc>
          <w:tcPr>
            <w:tcW w:w="1100" w:type="dxa"/>
            <w:vAlign w:val="bottom"/>
            <w:tcBorders>
              <w:right w:val="single" w:sz="8" w:color="DDDDDD"/>
            </w:tcBorders>
          </w:tcPr>
          <w:p>
            <w:pPr>
              <w:spacing w:after="0"/>
              <w:rPr>
                <w:sz w:val="14"/>
                <w:szCs w:val="14"/>
                <w:color w:val="auto"/>
              </w:rPr>
            </w:pPr>
          </w:p>
        </w:tc>
        <w:tc>
          <w:tcPr>
            <w:tcW w:w="360" w:type="dxa"/>
            <w:vAlign w:val="bottom"/>
            <w:tcBorders>
              <w:right w:val="single" w:sz="8" w:color="DDDDDD"/>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4"/>
                <w:szCs w:val="14"/>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200" w:type="dxa"/>
            <w:vAlign w:val="bottom"/>
          </w:tcPr>
          <w:p>
            <w:pPr>
              <w:spacing w:after="0"/>
              <w:rPr>
                <w:sz w:val="14"/>
                <w:szCs w:val="14"/>
                <w:color w:val="auto"/>
              </w:rPr>
            </w:pPr>
          </w:p>
        </w:tc>
        <w:tc>
          <w:tcPr>
            <w:tcW w:w="1140" w:type="dxa"/>
            <w:vAlign w:val="bottom"/>
            <w:tcBorders>
              <w:right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 w:type="dxa"/>
            <w:vAlign w:val="bottom"/>
            <w:tcBorders>
              <w:right w:val="single" w:sz="8" w:color="DDDDDD"/>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Unvested Equity</w:t>
            </w:r>
          </w:p>
        </w:tc>
        <w:tc>
          <w:tcPr>
            <w:tcW w:w="160" w:type="dxa"/>
            <w:vAlign w:val="bottom"/>
          </w:tcPr>
          <w:p>
            <w:pPr>
              <w:spacing w:after="0"/>
              <w:rPr>
                <w:sz w:val="15"/>
                <w:szCs w:val="15"/>
                <w:color w:val="auto"/>
              </w:rPr>
            </w:pPr>
          </w:p>
        </w:tc>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Pr>
          <w:p>
            <w:pPr>
              <w:spacing w:after="0"/>
              <w:rPr>
                <w:sz w:val="15"/>
                <w:szCs w:val="15"/>
                <w:color w:val="auto"/>
              </w:rPr>
            </w:pPr>
          </w:p>
        </w:tc>
        <w:tc>
          <w:tcPr>
            <w:tcW w:w="1100" w:type="dxa"/>
            <w:vAlign w:val="bottom"/>
            <w:tcBorders>
              <w:right w:val="single" w:sz="8" w:color="DDDDDD"/>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right w:val="single" w:sz="8" w:color="DDDDDD"/>
            </w:tcBorders>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Unvested Equity</w:t>
            </w:r>
          </w:p>
        </w:tc>
        <w:tc>
          <w:tcPr>
            <w:tcW w:w="160" w:type="dxa"/>
            <w:vAlign w:val="bottom"/>
          </w:tcPr>
          <w:p>
            <w:pPr>
              <w:spacing w:after="0"/>
              <w:rPr>
                <w:sz w:val="15"/>
                <w:szCs w:val="15"/>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1140" w:type="dxa"/>
            <w:vAlign w:val="bottom"/>
            <w:tcBorders>
              <w:right w:val="single" w:sz="8" w:color="DDDDDD"/>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20" w:type="dxa"/>
            <w:vAlign w:val="bottom"/>
            <w:tcBorders>
              <w:right w:val="single" w:sz="8" w:color="DDDDDD"/>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16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2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that Vested in the</w:t>
            </w:r>
          </w:p>
        </w:tc>
        <w:tc>
          <w:tcPr>
            <w:tcW w:w="240" w:type="dxa"/>
            <w:vAlign w:val="bottom"/>
          </w:tcPr>
          <w:p>
            <w:pPr>
              <w:spacing w:after="0"/>
              <w:rPr>
                <w:sz w:val="15"/>
                <w:szCs w:val="15"/>
                <w:color w:val="auto"/>
              </w:rPr>
            </w:pPr>
          </w:p>
        </w:tc>
        <w:tc>
          <w:tcPr>
            <w:tcW w:w="1100" w:type="dxa"/>
            <w:vAlign w:val="bottom"/>
            <w:tcBorders>
              <w:right w:val="single" w:sz="8" w:color="DDDDDD"/>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360" w:type="dxa"/>
            <w:vAlign w:val="bottom"/>
            <w:tcBorders>
              <w:right w:val="single" w:sz="8" w:color="DDDDDD"/>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16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Vested in the</w:t>
            </w:r>
          </w:p>
        </w:tc>
        <w:tc>
          <w:tcPr>
            <w:tcW w:w="200" w:type="dxa"/>
            <w:vAlign w:val="bottom"/>
          </w:tcPr>
          <w:p>
            <w:pPr>
              <w:spacing w:after="0"/>
              <w:rPr>
                <w:sz w:val="15"/>
                <w:szCs w:val="15"/>
                <w:color w:val="auto"/>
              </w:rPr>
            </w:pPr>
          </w:p>
        </w:tc>
        <w:tc>
          <w:tcPr>
            <w:tcW w:w="1140" w:type="dxa"/>
            <w:vAlign w:val="bottom"/>
            <w:tcBorders>
              <w:right w:val="single" w:sz="8" w:color="DDDDDD"/>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0" w:type="dxa"/>
            <w:vAlign w:val="bottom"/>
          </w:tcPr>
          <w:p>
            <w:pPr>
              <w:spacing w:after="0"/>
              <w:rPr>
                <w:sz w:val="1"/>
                <w:szCs w:val="1"/>
                <w:color w:val="auto"/>
              </w:rPr>
            </w:pPr>
          </w:p>
        </w:tc>
      </w:tr>
      <w:tr>
        <w:trPr>
          <w:trHeight w:val="204"/>
        </w:trPr>
        <w:tc>
          <w:tcPr>
            <w:tcW w:w="620" w:type="dxa"/>
            <w:vAlign w:val="bottom"/>
            <w:tcBorders>
              <w:right w:val="single" w:sz="8" w:color="DDDDDD"/>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7"/>
                <w:szCs w:val="17"/>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6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Prior Years</w:t>
            </w:r>
          </w:p>
        </w:tc>
        <w:tc>
          <w:tcPr>
            <w:tcW w:w="160" w:type="dxa"/>
            <w:vAlign w:val="bottom"/>
          </w:tcPr>
          <w:p>
            <w:pPr>
              <w:spacing w:after="0"/>
              <w:rPr>
                <w:sz w:val="17"/>
                <w:szCs w:val="17"/>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7"/>
                <w:szCs w:val="17"/>
                <w:color w:val="auto"/>
              </w:rPr>
            </w:pPr>
          </w:p>
        </w:tc>
        <w:tc>
          <w:tcPr>
            <w:tcW w:w="1100" w:type="dxa"/>
            <w:vAlign w:val="bottom"/>
            <w:tcBorders>
              <w:right w:val="single" w:sz="8" w:color="DDDDDD"/>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Borders>
              <w:right w:val="single" w:sz="8" w:color="DDDDDD"/>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6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Prior Years</w:t>
            </w:r>
          </w:p>
        </w:tc>
        <w:tc>
          <w:tcPr>
            <w:tcW w:w="160" w:type="dxa"/>
            <w:vAlign w:val="bottom"/>
          </w:tcPr>
          <w:p>
            <w:pPr>
              <w:spacing w:after="0"/>
              <w:rPr>
                <w:sz w:val="17"/>
                <w:szCs w:val="17"/>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7"/>
                <w:szCs w:val="17"/>
                <w:color w:val="auto"/>
              </w:rPr>
            </w:pPr>
          </w:p>
        </w:tc>
        <w:tc>
          <w:tcPr>
            <w:tcW w:w="1140" w:type="dxa"/>
            <w:vAlign w:val="bottom"/>
            <w:tcBorders>
              <w:right w:val="single" w:sz="8" w:color="DDDDDD"/>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3"/>
        </w:trPr>
        <w:tc>
          <w:tcPr>
            <w:tcW w:w="620" w:type="dxa"/>
            <w:vAlign w:val="bottom"/>
            <w:tcBorders>
              <w:bottom w:val="single" w:sz="8" w:color="DDDDDD"/>
              <w:right w:val="single" w:sz="8" w:color="DDDDDD"/>
            </w:tcBorders>
          </w:tcPr>
          <w:p>
            <w:pPr>
              <w:spacing w:after="0"/>
              <w:rPr>
                <w:sz w:val="2"/>
                <w:szCs w:val="2"/>
                <w:color w:val="auto"/>
              </w:rPr>
            </w:pPr>
          </w:p>
        </w:tc>
        <w:tc>
          <w:tcPr>
            <w:tcW w:w="140" w:type="dxa"/>
            <w:vAlign w:val="bottom"/>
            <w:tcBorders>
              <w:bottom w:val="single" w:sz="8" w:color="DDDDDD"/>
            </w:tcBorders>
          </w:tcPr>
          <w:p>
            <w:pPr>
              <w:spacing w:after="0"/>
              <w:rPr>
                <w:sz w:val="2"/>
                <w:szCs w:val="2"/>
                <w:color w:val="auto"/>
              </w:rPr>
            </w:pPr>
          </w:p>
        </w:tc>
        <w:tc>
          <w:tcPr>
            <w:tcW w:w="108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240" w:type="dxa"/>
            <w:vAlign w:val="bottom"/>
            <w:tcBorders>
              <w:bottom w:val="single" w:sz="8" w:color="DDDDDD"/>
            </w:tcBorders>
          </w:tcPr>
          <w:p>
            <w:pPr>
              <w:spacing w:after="0"/>
              <w:rPr>
                <w:sz w:val="2"/>
                <w:szCs w:val="2"/>
                <w:color w:val="auto"/>
              </w:rPr>
            </w:pPr>
          </w:p>
        </w:tc>
        <w:tc>
          <w:tcPr>
            <w:tcW w:w="1100" w:type="dxa"/>
            <w:vAlign w:val="bottom"/>
            <w:tcBorders>
              <w:bottom w:val="single" w:sz="8" w:color="DDDDDD"/>
              <w:right w:val="single" w:sz="8" w:color="DDDDDD"/>
            </w:tcBorders>
          </w:tcPr>
          <w:p>
            <w:pPr>
              <w:spacing w:after="0"/>
              <w:rPr>
                <w:sz w:val="2"/>
                <w:szCs w:val="2"/>
                <w:color w:val="auto"/>
              </w:rPr>
            </w:pPr>
          </w:p>
        </w:tc>
        <w:tc>
          <w:tcPr>
            <w:tcW w:w="360" w:type="dxa"/>
            <w:vAlign w:val="bottom"/>
            <w:tcBorders>
              <w:bottom w:val="single" w:sz="8" w:color="DDDDDD"/>
              <w:right w:val="single" w:sz="8" w:color="DDDDDD"/>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94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40" w:type="dxa"/>
            <w:vAlign w:val="bottom"/>
            <w:tcBorders>
              <w:bottom w:val="single" w:sz="8" w:color="DDDDDD"/>
            </w:tcBorders>
          </w:tcPr>
          <w:p>
            <w:pPr>
              <w:spacing w:after="0"/>
              <w:rPr>
                <w:sz w:val="2"/>
                <w:szCs w:val="2"/>
                <w:color w:val="auto"/>
              </w:rPr>
            </w:pPr>
          </w:p>
        </w:tc>
        <w:tc>
          <w:tcPr>
            <w:tcW w:w="200" w:type="dxa"/>
            <w:vAlign w:val="bottom"/>
            <w:tcBorders>
              <w:bottom w:val="single" w:sz="8" w:color="DDDDDD"/>
            </w:tcBorders>
          </w:tcPr>
          <w:p>
            <w:pPr>
              <w:spacing w:after="0"/>
              <w:rPr>
                <w:sz w:val="2"/>
                <w:szCs w:val="2"/>
                <w:color w:val="auto"/>
              </w:rPr>
            </w:pPr>
          </w:p>
        </w:tc>
        <w:tc>
          <w:tcPr>
            <w:tcW w:w="1140" w:type="dxa"/>
            <w:vAlign w:val="bottom"/>
            <w:tcBorders>
              <w:bottom w:val="single" w:sz="8" w:color="DDDDDD"/>
              <w:right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1,949,633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1,429,806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50,779</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3,430,218</w:t>
            </w:r>
          </w:p>
        </w:tc>
        <w:tc>
          <w:tcPr>
            <w:tcW w:w="360" w:type="dxa"/>
            <w:vAlign w:val="bottom"/>
            <w:tcBorders>
              <w:right w:val="single" w:sz="8" w:color="DDDDDD"/>
            </w:tcBorders>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436,824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365,583</w:t>
            </w:r>
          </w:p>
        </w:tc>
        <w:tc>
          <w:tcPr>
            <w:tcW w:w="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13,433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815,840</w:t>
            </w:r>
          </w:p>
        </w:tc>
        <w:tc>
          <w:tcPr>
            <w:tcW w:w="0" w:type="dxa"/>
            <w:vAlign w:val="bottom"/>
          </w:tcPr>
          <w:p>
            <w:pPr>
              <w:spacing w:after="0"/>
              <w:rPr>
                <w:sz w:val="1"/>
                <w:szCs w:val="1"/>
                <w:color w:val="auto"/>
              </w:rPr>
            </w:pPr>
          </w:p>
        </w:tc>
      </w:tr>
      <w:tr>
        <w:trPr>
          <w:trHeight w:val="37"/>
        </w:trPr>
        <w:tc>
          <w:tcPr>
            <w:tcW w:w="620" w:type="dxa"/>
            <w:vAlign w:val="bottom"/>
            <w:tcBorders>
              <w:left w:val="single" w:sz="8" w:color="DDDDDD"/>
              <w:bottom w:val="single" w:sz="8" w:color="DDDDDD"/>
              <w:right w:val="single" w:sz="8" w:color="DDDDDD"/>
            </w:tcBorders>
          </w:tcPr>
          <w:p>
            <w:pPr>
              <w:spacing w:after="0"/>
              <w:rPr>
                <w:sz w:val="3"/>
                <w:szCs w:val="3"/>
                <w:color w:val="auto"/>
              </w:rPr>
            </w:pPr>
          </w:p>
        </w:tc>
        <w:tc>
          <w:tcPr>
            <w:tcW w:w="140" w:type="dxa"/>
            <w:vAlign w:val="bottom"/>
            <w:tcBorders>
              <w:bottom w:val="single" w:sz="8" w:color="DDDDDD"/>
            </w:tcBorders>
          </w:tcPr>
          <w:p>
            <w:pPr>
              <w:spacing w:after="0"/>
              <w:rPr>
                <w:sz w:val="3"/>
                <w:szCs w:val="3"/>
                <w:color w:val="auto"/>
              </w:rPr>
            </w:pPr>
          </w:p>
        </w:tc>
        <w:tc>
          <w:tcPr>
            <w:tcW w:w="108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240" w:type="dxa"/>
            <w:vAlign w:val="bottom"/>
            <w:tcBorders>
              <w:bottom w:val="single" w:sz="8" w:color="DDDDDD"/>
            </w:tcBorders>
          </w:tcPr>
          <w:p>
            <w:pPr>
              <w:spacing w:after="0"/>
              <w:rPr>
                <w:sz w:val="3"/>
                <w:szCs w:val="3"/>
                <w:color w:val="auto"/>
              </w:rPr>
            </w:pPr>
          </w:p>
        </w:tc>
        <w:tc>
          <w:tcPr>
            <w:tcW w:w="1100" w:type="dxa"/>
            <w:vAlign w:val="bottom"/>
            <w:tcBorders>
              <w:bottom w:val="single" w:sz="8" w:color="DDDDDD"/>
              <w:right w:val="single" w:sz="8" w:color="DDDDDD"/>
            </w:tcBorders>
          </w:tcPr>
          <w:p>
            <w:pPr>
              <w:spacing w:after="0"/>
              <w:rPr>
                <w:sz w:val="3"/>
                <w:szCs w:val="3"/>
                <w:color w:val="auto"/>
              </w:rPr>
            </w:pPr>
          </w:p>
        </w:tc>
        <w:tc>
          <w:tcPr>
            <w:tcW w:w="360" w:type="dxa"/>
            <w:vAlign w:val="bottom"/>
            <w:tcBorders>
              <w:bottom w:val="single" w:sz="8" w:color="DDDDDD"/>
              <w:right w:val="single" w:sz="8" w:color="DDDDDD"/>
            </w:tcBorders>
          </w:tcPr>
          <w:p>
            <w:pPr>
              <w:spacing w:after="0"/>
              <w:rPr>
                <w:sz w:val="3"/>
                <w:szCs w:val="3"/>
                <w:color w:val="auto"/>
              </w:rPr>
            </w:pPr>
          </w:p>
        </w:tc>
        <w:tc>
          <w:tcPr>
            <w:tcW w:w="120" w:type="dxa"/>
            <w:vAlign w:val="bottom"/>
            <w:tcBorders>
              <w:bottom w:val="single" w:sz="8" w:color="DDDDDD"/>
            </w:tcBorders>
          </w:tcPr>
          <w:p>
            <w:pPr>
              <w:spacing w:after="0"/>
              <w:rPr>
                <w:sz w:val="3"/>
                <w:szCs w:val="3"/>
                <w:color w:val="auto"/>
              </w:rPr>
            </w:pPr>
          </w:p>
        </w:tc>
        <w:tc>
          <w:tcPr>
            <w:tcW w:w="94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14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2,209,603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733,987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205,154</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3,148,744</w:t>
            </w:r>
          </w:p>
        </w:tc>
        <w:tc>
          <w:tcPr>
            <w:tcW w:w="360" w:type="dxa"/>
            <w:vAlign w:val="bottom"/>
            <w:tcBorders>
              <w:right w:val="single" w:sz="8" w:color="DDDDDD"/>
            </w:tcBorders>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564,967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194,166</w:t>
            </w:r>
          </w:p>
        </w:tc>
        <w:tc>
          <w:tcPr>
            <w:tcW w:w="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58,663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817,796</w:t>
            </w:r>
          </w:p>
        </w:tc>
        <w:tc>
          <w:tcPr>
            <w:tcW w:w="0" w:type="dxa"/>
            <w:vAlign w:val="bottom"/>
          </w:tcPr>
          <w:p>
            <w:pPr>
              <w:spacing w:after="0"/>
              <w:rPr>
                <w:sz w:val="1"/>
                <w:szCs w:val="1"/>
                <w:color w:val="auto"/>
              </w:rPr>
            </w:pPr>
          </w:p>
        </w:tc>
      </w:tr>
      <w:tr>
        <w:trPr>
          <w:trHeight w:val="37"/>
        </w:trPr>
        <w:tc>
          <w:tcPr>
            <w:tcW w:w="620" w:type="dxa"/>
            <w:vAlign w:val="bottom"/>
            <w:tcBorders>
              <w:left w:val="single" w:sz="8" w:color="DDDDDD"/>
              <w:bottom w:val="single" w:sz="8" w:color="DDDDDD"/>
              <w:right w:val="single" w:sz="8" w:color="DDDDDD"/>
            </w:tcBorders>
          </w:tcPr>
          <w:p>
            <w:pPr>
              <w:spacing w:after="0"/>
              <w:rPr>
                <w:sz w:val="3"/>
                <w:szCs w:val="3"/>
                <w:color w:val="auto"/>
              </w:rPr>
            </w:pPr>
          </w:p>
        </w:tc>
        <w:tc>
          <w:tcPr>
            <w:tcW w:w="140" w:type="dxa"/>
            <w:vAlign w:val="bottom"/>
            <w:tcBorders>
              <w:bottom w:val="single" w:sz="8" w:color="DDDDDD"/>
            </w:tcBorders>
          </w:tcPr>
          <w:p>
            <w:pPr>
              <w:spacing w:after="0"/>
              <w:rPr>
                <w:sz w:val="3"/>
                <w:szCs w:val="3"/>
                <w:color w:val="auto"/>
              </w:rPr>
            </w:pPr>
          </w:p>
        </w:tc>
        <w:tc>
          <w:tcPr>
            <w:tcW w:w="108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240" w:type="dxa"/>
            <w:vAlign w:val="bottom"/>
            <w:tcBorders>
              <w:bottom w:val="single" w:sz="8" w:color="DDDDDD"/>
            </w:tcBorders>
          </w:tcPr>
          <w:p>
            <w:pPr>
              <w:spacing w:after="0"/>
              <w:rPr>
                <w:sz w:val="3"/>
                <w:szCs w:val="3"/>
                <w:color w:val="auto"/>
              </w:rPr>
            </w:pPr>
          </w:p>
        </w:tc>
        <w:tc>
          <w:tcPr>
            <w:tcW w:w="1100" w:type="dxa"/>
            <w:vAlign w:val="bottom"/>
            <w:tcBorders>
              <w:bottom w:val="single" w:sz="8" w:color="DDDDDD"/>
              <w:right w:val="single" w:sz="8" w:color="DDDDDD"/>
            </w:tcBorders>
          </w:tcPr>
          <w:p>
            <w:pPr>
              <w:spacing w:after="0"/>
              <w:rPr>
                <w:sz w:val="3"/>
                <w:szCs w:val="3"/>
                <w:color w:val="auto"/>
              </w:rPr>
            </w:pPr>
          </w:p>
        </w:tc>
        <w:tc>
          <w:tcPr>
            <w:tcW w:w="360" w:type="dxa"/>
            <w:vAlign w:val="bottom"/>
            <w:tcBorders>
              <w:bottom w:val="single" w:sz="8" w:color="DDDDDD"/>
              <w:right w:val="single" w:sz="8" w:color="DDDDDD"/>
            </w:tcBorders>
          </w:tcPr>
          <w:p>
            <w:pPr>
              <w:spacing w:after="0"/>
              <w:rPr>
                <w:sz w:val="3"/>
                <w:szCs w:val="3"/>
                <w:color w:val="auto"/>
              </w:rPr>
            </w:pPr>
          </w:p>
        </w:tc>
        <w:tc>
          <w:tcPr>
            <w:tcW w:w="120" w:type="dxa"/>
            <w:vAlign w:val="bottom"/>
            <w:tcBorders>
              <w:bottom w:val="single" w:sz="8" w:color="DDDDDD"/>
            </w:tcBorders>
          </w:tcPr>
          <w:p>
            <w:pPr>
              <w:spacing w:after="0"/>
              <w:rPr>
                <w:sz w:val="3"/>
                <w:szCs w:val="3"/>
                <w:color w:val="auto"/>
              </w:rPr>
            </w:pPr>
          </w:p>
        </w:tc>
        <w:tc>
          <w:tcPr>
            <w:tcW w:w="94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14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1,850,652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298,814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(389,332)</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1,760,134</w:t>
            </w:r>
          </w:p>
        </w:tc>
        <w:tc>
          <w:tcPr>
            <w:tcW w:w="360" w:type="dxa"/>
            <w:vAlign w:val="bottom"/>
            <w:tcBorders>
              <w:right w:val="single" w:sz="8" w:color="DDDDDD"/>
            </w:tcBorders>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489,564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85,445</w:t>
            </w:r>
          </w:p>
        </w:tc>
        <w:tc>
          <w:tcPr>
            <w:tcW w:w="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(112,865)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462,144</w:t>
            </w:r>
          </w:p>
        </w:tc>
        <w:tc>
          <w:tcPr>
            <w:tcW w:w="0" w:type="dxa"/>
            <w:vAlign w:val="bottom"/>
          </w:tcPr>
          <w:p>
            <w:pPr>
              <w:spacing w:after="0"/>
              <w:rPr>
                <w:sz w:val="1"/>
                <w:szCs w:val="1"/>
                <w:color w:val="auto"/>
              </w:rPr>
            </w:pPr>
          </w:p>
        </w:tc>
      </w:tr>
      <w:tr>
        <w:trPr>
          <w:trHeight w:val="37"/>
        </w:trPr>
        <w:tc>
          <w:tcPr>
            <w:tcW w:w="620" w:type="dxa"/>
            <w:vAlign w:val="bottom"/>
            <w:tcBorders>
              <w:left w:val="single" w:sz="8" w:color="DDDDDD"/>
              <w:bottom w:val="single" w:sz="8" w:color="DDDDDD"/>
              <w:right w:val="single" w:sz="8" w:color="DDDDDD"/>
            </w:tcBorders>
          </w:tcPr>
          <w:p>
            <w:pPr>
              <w:spacing w:after="0"/>
              <w:rPr>
                <w:sz w:val="3"/>
                <w:szCs w:val="3"/>
                <w:color w:val="auto"/>
              </w:rPr>
            </w:pPr>
          </w:p>
        </w:tc>
        <w:tc>
          <w:tcPr>
            <w:tcW w:w="140" w:type="dxa"/>
            <w:vAlign w:val="bottom"/>
            <w:tcBorders>
              <w:bottom w:val="single" w:sz="8" w:color="DDDDDD"/>
            </w:tcBorders>
          </w:tcPr>
          <w:p>
            <w:pPr>
              <w:spacing w:after="0"/>
              <w:rPr>
                <w:sz w:val="3"/>
                <w:szCs w:val="3"/>
                <w:color w:val="auto"/>
              </w:rPr>
            </w:pPr>
          </w:p>
        </w:tc>
        <w:tc>
          <w:tcPr>
            <w:tcW w:w="108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240" w:type="dxa"/>
            <w:vAlign w:val="bottom"/>
            <w:tcBorders>
              <w:bottom w:val="single" w:sz="8" w:color="DDDDDD"/>
            </w:tcBorders>
          </w:tcPr>
          <w:p>
            <w:pPr>
              <w:spacing w:after="0"/>
              <w:rPr>
                <w:sz w:val="3"/>
                <w:szCs w:val="3"/>
                <w:color w:val="auto"/>
              </w:rPr>
            </w:pPr>
          </w:p>
        </w:tc>
        <w:tc>
          <w:tcPr>
            <w:tcW w:w="1100" w:type="dxa"/>
            <w:vAlign w:val="bottom"/>
            <w:tcBorders>
              <w:bottom w:val="single" w:sz="8" w:color="DDDDDD"/>
              <w:right w:val="single" w:sz="8" w:color="DDDDDD"/>
            </w:tcBorders>
          </w:tcPr>
          <w:p>
            <w:pPr>
              <w:spacing w:after="0"/>
              <w:rPr>
                <w:sz w:val="3"/>
                <w:szCs w:val="3"/>
                <w:color w:val="auto"/>
              </w:rPr>
            </w:pPr>
          </w:p>
        </w:tc>
        <w:tc>
          <w:tcPr>
            <w:tcW w:w="360" w:type="dxa"/>
            <w:vAlign w:val="bottom"/>
            <w:tcBorders>
              <w:bottom w:val="single" w:sz="8" w:color="DDDDDD"/>
              <w:right w:val="single" w:sz="8" w:color="DDDDDD"/>
            </w:tcBorders>
          </w:tcPr>
          <w:p>
            <w:pPr>
              <w:spacing w:after="0"/>
              <w:rPr>
                <w:sz w:val="3"/>
                <w:szCs w:val="3"/>
                <w:color w:val="auto"/>
              </w:rPr>
            </w:pPr>
          </w:p>
        </w:tc>
        <w:tc>
          <w:tcPr>
            <w:tcW w:w="120" w:type="dxa"/>
            <w:vAlign w:val="bottom"/>
            <w:tcBorders>
              <w:bottom w:val="single" w:sz="8" w:color="DDDDDD"/>
            </w:tcBorders>
          </w:tcPr>
          <w:p>
            <w:pPr>
              <w:spacing w:after="0"/>
              <w:rPr>
                <w:sz w:val="3"/>
                <w:szCs w:val="3"/>
                <w:color w:val="auto"/>
              </w:rPr>
            </w:pPr>
          </w:p>
        </w:tc>
        <w:tc>
          <w:tcPr>
            <w:tcW w:w="94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14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908,038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(97,810)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(624,840)</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185,388</w:t>
            </w:r>
          </w:p>
        </w:tc>
        <w:tc>
          <w:tcPr>
            <w:tcW w:w="360" w:type="dxa"/>
            <w:vAlign w:val="bottom"/>
            <w:tcBorders>
              <w:right w:val="single" w:sz="8" w:color="DDDDDD"/>
            </w:tcBorders>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259,652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(28,354)</w:t>
            </w:r>
          </w:p>
        </w:tc>
        <w:tc>
          <w:tcPr>
            <w:tcW w:w="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(177,021)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54,277</w:t>
            </w:r>
          </w:p>
        </w:tc>
        <w:tc>
          <w:tcPr>
            <w:tcW w:w="0" w:type="dxa"/>
            <w:vAlign w:val="bottom"/>
          </w:tcPr>
          <w:p>
            <w:pPr>
              <w:spacing w:after="0"/>
              <w:rPr>
                <w:sz w:val="1"/>
                <w:szCs w:val="1"/>
                <w:color w:val="auto"/>
              </w:rPr>
            </w:pPr>
          </w:p>
        </w:tc>
      </w:tr>
      <w:tr>
        <w:trPr>
          <w:trHeight w:val="37"/>
        </w:trPr>
        <w:tc>
          <w:tcPr>
            <w:tcW w:w="620" w:type="dxa"/>
            <w:vAlign w:val="bottom"/>
            <w:tcBorders>
              <w:left w:val="single" w:sz="8" w:color="DDDDDD"/>
              <w:bottom w:val="single" w:sz="8" w:color="DDDDDD"/>
              <w:right w:val="single" w:sz="8" w:color="DDDDDD"/>
            </w:tcBorders>
          </w:tcPr>
          <w:p>
            <w:pPr>
              <w:spacing w:after="0"/>
              <w:rPr>
                <w:sz w:val="3"/>
                <w:szCs w:val="3"/>
                <w:color w:val="auto"/>
              </w:rPr>
            </w:pPr>
          </w:p>
        </w:tc>
        <w:tc>
          <w:tcPr>
            <w:tcW w:w="140" w:type="dxa"/>
            <w:vAlign w:val="bottom"/>
            <w:tcBorders>
              <w:bottom w:val="single" w:sz="8" w:color="DDDDDD"/>
            </w:tcBorders>
          </w:tcPr>
          <w:p>
            <w:pPr>
              <w:spacing w:after="0"/>
              <w:rPr>
                <w:sz w:val="3"/>
                <w:szCs w:val="3"/>
                <w:color w:val="auto"/>
              </w:rPr>
            </w:pPr>
          </w:p>
        </w:tc>
        <w:tc>
          <w:tcPr>
            <w:tcW w:w="108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240" w:type="dxa"/>
            <w:vAlign w:val="bottom"/>
            <w:tcBorders>
              <w:bottom w:val="single" w:sz="8" w:color="DDDDDD"/>
            </w:tcBorders>
          </w:tcPr>
          <w:p>
            <w:pPr>
              <w:spacing w:after="0"/>
              <w:rPr>
                <w:sz w:val="3"/>
                <w:szCs w:val="3"/>
                <w:color w:val="auto"/>
              </w:rPr>
            </w:pPr>
          </w:p>
        </w:tc>
        <w:tc>
          <w:tcPr>
            <w:tcW w:w="1100" w:type="dxa"/>
            <w:vAlign w:val="bottom"/>
            <w:tcBorders>
              <w:bottom w:val="single" w:sz="8" w:color="DDDDDD"/>
              <w:right w:val="single" w:sz="8" w:color="DDDDDD"/>
            </w:tcBorders>
          </w:tcPr>
          <w:p>
            <w:pPr>
              <w:spacing w:after="0"/>
              <w:rPr>
                <w:sz w:val="3"/>
                <w:szCs w:val="3"/>
                <w:color w:val="auto"/>
              </w:rPr>
            </w:pPr>
          </w:p>
        </w:tc>
        <w:tc>
          <w:tcPr>
            <w:tcW w:w="360" w:type="dxa"/>
            <w:vAlign w:val="bottom"/>
            <w:tcBorders>
              <w:bottom w:val="single" w:sz="8" w:color="DDDDDD"/>
              <w:right w:val="single" w:sz="8" w:color="DDDDDD"/>
            </w:tcBorders>
          </w:tcPr>
          <w:p>
            <w:pPr>
              <w:spacing w:after="0"/>
              <w:rPr>
                <w:sz w:val="3"/>
                <w:szCs w:val="3"/>
                <w:color w:val="auto"/>
              </w:rPr>
            </w:pPr>
          </w:p>
        </w:tc>
        <w:tc>
          <w:tcPr>
            <w:tcW w:w="120" w:type="dxa"/>
            <w:vAlign w:val="bottom"/>
            <w:tcBorders>
              <w:bottom w:val="single" w:sz="8" w:color="DDDDDD"/>
            </w:tcBorders>
          </w:tcPr>
          <w:p>
            <w:pPr>
              <w:spacing w:after="0"/>
              <w:rPr>
                <w:sz w:val="3"/>
                <w:szCs w:val="3"/>
                <w:color w:val="auto"/>
              </w:rPr>
            </w:pPr>
          </w:p>
        </w:tc>
        <w:tc>
          <w:tcPr>
            <w:tcW w:w="94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14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0" w:type="dxa"/>
            <w:vAlign w:val="bottom"/>
            <w:tcBorders>
              <w:left w:val="single" w:sz="8" w:color="DDDDDD"/>
              <w:right w:val="single" w:sz="8" w:color="DDDDDD"/>
            </w:tcBorders>
          </w:tcPr>
          <w:p>
            <w:pPr>
              <w:ind w:left="40"/>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1,868,236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1,685,102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861,955</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4,415,293</w:t>
            </w:r>
          </w:p>
        </w:tc>
        <w:tc>
          <w:tcPr>
            <w:tcW w:w="360" w:type="dxa"/>
            <w:vAlign w:val="bottom"/>
            <w:tcBorders>
              <w:right w:val="single" w:sz="8" w:color="DDDDDD"/>
            </w:tcBorders>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541,588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477,399</w:t>
            </w:r>
          </w:p>
        </w:tc>
        <w:tc>
          <w:tcPr>
            <w:tcW w:w="1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266,525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DDDDDD"/>
            </w:tcBorders>
          </w:tcPr>
          <w:p>
            <w:pPr>
              <w:jc w:val="right"/>
              <w:ind w:right="68"/>
              <w:spacing w:after="0"/>
              <w:rPr>
                <w:sz w:val="20"/>
                <w:szCs w:val="20"/>
                <w:color w:val="auto"/>
              </w:rPr>
            </w:pPr>
            <w:r>
              <w:rPr>
                <w:rFonts w:ascii="Times New Roman" w:cs="Times New Roman" w:eastAsia="Times New Roman" w:hAnsi="Times New Roman"/>
                <w:sz w:val="14"/>
                <w:szCs w:val="14"/>
                <w:color w:val="auto"/>
              </w:rPr>
              <w:t>1,285,512</w:t>
            </w:r>
          </w:p>
        </w:tc>
        <w:tc>
          <w:tcPr>
            <w:tcW w:w="0" w:type="dxa"/>
            <w:vAlign w:val="bottom"/>
          </w:tcPr>
          <w:p>
            <w:pPr>
              <w:spacing w:after="0"/>
              <w:rPr>
                <w:sz w:val="1"/>
                <w:szCs w:val="1"/>
                <w:color w:val="auto"/>
              </w:rPr>
            </w:pPr>
          </w:p>
        </w:tc>
      </w:tr>
      <w:tr>
        <w:trPr>
          <w:trHeight w:val="37"/>
        </w:trPr>
        <w:tc>
          <w:tcPr>
            <w:tcW w:w="620" w:type="dxa"/>
            <w:vAlign w:val="bottom"/>
            <w:tcBorders>
              <w:left w:val="single" w:sz="8" w:color="DDDDDD"/>
              <w:bottom w:val="single" w:sz="8" w:color="DDDDDD"/>
              <w:right w:val="single" w:sz="8" w:color="DDDDDD"/>
            </w:tcBorders>
          </w:tcPr>
          <w:p>
            <w:pPr>
              <w:spacing w:after="0"/>
              <w:rPr>
                <w:sz w:val="3"/>
                <w:szCs w:val="3"/>
                <w:color w:val="auto"/>
              </w:rPr>
            </w:pPr>
          </w:p>
        </w:tc>
        <w:tc>
          <w:tcPr>
            <w:tcW w:w="140" w:type="dxa"/>
            <w:vAlign w:val="bottom"/>
            <w:tcBorders>
              <w:bottom w:val="single" w:sz="8" w:color="DDDDDD"/>
            </w:tcBorders>
          </w:tcPr>
          <w:p>
            <w:pPr>
              <w:spacing w:after="0"/>
              <w:rPr>
                <w:sz w:val="3"/>
                <w:szCs w:val="3"/>
                <w:color w:val="auto"/>
              </w:rPr>
            </w:pPr>
          </w:p>
        </w:tc>
        <w:tc>
          <w:tcPr>
            <w:tcW w:w="108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240" w:type="dxa"/>
            <w:vAlign w:val="bottom"/>
            <w:tcBorders>
              <w:bottom w:val="single" w:sz="8" w:color="DDDDDD"/>
            </w:tcBorders>
          </w:tcPr>
          <w:p>
            <w:pPr>
              <w:spacing w:after="0"/>
              <w:rPr>
                <w:sz w:val="3"/>
                <w:szCs w:val="3"/>
                <w:color w:val="auto"/>
              </w:rPr>
            </w:pPr>
          </w:p>
        </w:tc>
        <w:tc>
          <w:tcPr>
            <w:tcW w:w="1100" w:type="dxa"/>
            <w:vAlign w:val="bottom"/>
            <w:tcBorders>
              <w:bottom w:val="single" w:sz="8" w:color="DDDDDD"/>
              <w:right w:val="single" w:sz="8" w:color="DDDDDD"/>
            </w:tcBorders>
          </w:tcPr>
          <w:p>
            <w:pPr>
              <w:spacing w:after="0"/>
              <w:rPr>
                <w:sz w:val="3"/>
                <w:szCs w:val="3"/>
                <w:color w:val="auto"/>
              </w:rPr>
            </w:pPr>
          </w:p>
        </w:tc>
        <w:tc>
          <w:tcPr>
            <w:tcW w:w="360" w:type="dxa"/>
            <w:vAlign w:val="bottom"/>
            <w:tcBorders>
              <w:bottom w:val="single" w:sz="8" w:color="DDDDDD"/>
              <w:right w:val="single" w:sz="8" w:color="DDDDDD"/>
            </w:tcBorders>
          </w:tcPr>
          <w:p>
            <w:pPr>
              <w:spacing w:after="0"/>
              <w:rPr>
                <w:sz w:val="3"/>
                <w:szCs w:val="3"/>
                <w:color w:val="auto"/>
              </w:rPr>
            </w:pPr>
          </w:p>
        </w:tc>
        <w:tc>
          <w:tcPr>
            <w:tcW w:w="120" w:type="dxa"/>
            <w:vAlign w:val="bottom"/>
            <w:tcBorders>
              <w:bottom w:val="single" w:sz="8" w:color="DDDDDD"/>
            </w:tcBorders>
          </w:tcPr>
          <w:p>
            <w:pPr>
              <w:spacing w:after="0"/>
              <w:rPr>
                <w:sz w:val="3"/>
                <w:szCs w:val="3"/>
                <w:color w:val="auto"/>
              </w:rPr>
            </w:pPr>
          </w:p>
        </w:tc>
        <w:tc>
          <w:tcPr>
            <w:tcW w:w="94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20" w:type="dxa"/>
            <w:vAlign w:val="bottom"/>
            <w:tcBorders>
              <w:bottom w:val="single" w:sz="8" w:color="DDDDDD"/>
            </w:tcBorders>
          </w:tcPr>
          <w:p>
            <w:pPr>
              <w:spacing w:after="0"/>
              <w:rPr>
                <w:sz w:val="3"/>
                <w:szCs w:val="3"/>
                <w:color w:val="auto"/>
              </w:rPr>
            </w:pPr>
          </w:p>
        </w:tc>
        <w:tc>
          <w:tcPr>
            <w:tcW w:w="160" w:type="dxa"/>
            <w:vAlign w:val="bottom"/>
            <w:tcBorders>
              <w:bottom w:val="single" w:sz="8" w:color="DDDDDD"/>
            </w:tcBorders>
          </w:tcPr>
          <w:p>
            <w:pPr>
              <w:spacing w:after="0"/>
              <w:rPr>
                <w:sz w:val="3"/>
                <w:szCs w:val="3"/>
                <w:color w:val="auto"/>
              </w:rPr>
            </w:pPr>
          </w:p>
        </w:tc>
        <w:tc>
          <w:tcPr>
            <w:tcW w:w="1140" w:type="dxa"/>
            <w:vAlign w:val="bottom"/>
            <w:tcBorders>
              <w:bottom w:val="single" w:sz="8" w:color="DDDDDD"/>
            </w:tcBorders>
          </w:tcPr>
          <w:p>
            <w:pPr>
              <w:spacing w:after="0"/>
              <w:rPr>
                <w:sz w:val="3"/>
                <w:szCs w:val="3"/>
                <w:color w:val="auto"/>
              </w:rPr>
            </w:pPr>
          </w:p>
        </w:tc>
        <w:tc>
          <w:tcPr>
            <w:tcW w:w="200" w:type="dxa"/>
            <w:vAlign w:val="bottom"/>
            <w:tcBorders>
              <w:bottom w:val="single" w:sz="8" w:color="DDDDDD"/>
            </w:tcBorders>
          </w:tcPr>
          <w:p>
            <w:pPr>
              <w:spacing w:after="0"/>
              <w:rPr>
                <w:sz w:val="3"/>
                <w:szCs w:val="3"/>
                <w:color w:val="auto"/>
              </w:rPr>
            </w:pPr>
          </w:p>
        </w:tc>
        <w:tc>
          <w:tcPr>
            <w:tcW w:w="1140" w:type="dxa"/>
            <w:vAlign w:val="bottom"/>
            <w:tcBorders>
              <w:bottom w:val="single" w:sz="8" w:color="DDDDDD"/>
              <w:right w:val="single" w:sz="8" w:color="DDDDD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0"/>
        <w:spacing w:after="0" w:line="252" w:lineRule="auto"/>
        <w:rPr>
          <w:sz w:val="20"/>
          <w:szCs w:val="20"/>
          <w:color w:val="auto"/>
        </w:rPr>
      </w:pPr>
      <w:r>
        <w:rPr>
          <w:rFonts w:ascii="Times New Roman" w:cs="Times New Roman" w:eastAsia="Times New Roman" w:hAnsi="Times New Roman"/>
          <w:sz w:val="14"/>
          <w:szCs w:val="14"/>
          <w:i w:val="1"/>
          <w:iCs w:val="1"/>
          <w:color w:val="auto"/>
        </w:rPr>
        <w:t>The unvested equity values in the table above are computed in accordance with the methodology used for financial reporting purposes, and for unvested awards subject to performance-based vesting conditions. Performance-based vesting conditions are based on the probable outcome of such conditions as of the last day of the applicable years.</w:t>
      </w:r>
    </w:p>
    <w:p>
      <w:pPr>
        <w:spacing w:after="0" w:line="1" w:lineRule="exact"/>
        <w:rPr>
          <w:sz w:val="20"/>
          <w:szCs w:val="20"/>
          <w:color w:val="auto"/>
        </w:rPr>
      </w:pPr>
    </w:p>
    <w:p>
      <w:pPr>
        <w:jc w:val="both"/>
        <w:ind w:left="80" w:hanging="72"/>
        <w:spacing w:after="0" w:line="226" w:lineRule="auto"/>
        <w:tabs>
          <w:tab w:leader="none" w:pos="69" w:val="left"/>
        </w:tabs>
        <w:numPr>
          <w:ilvl w:val="0"/>
          <w:numId w:val="6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Cumulative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The Company's cumulative annual TSR represents the dollar value of an investment of $100 over a one, two, three, four and five year cumulative period from the market close on December 31, 2020 through the fiscal years ended December 31, 2021, December 31, 2022, December 31, 2023, December 31, 2024 and December 31, 2025.</w:t>
      </w:r>
    </w:p>
    <w:p>
      <w:pPr>
        <w:spacing w:after="0" w:line="1" w:lineRule="exact"/>
        <w:rPr>
          <w:sz w:val="20"/>
          <w:szCs w:val="20"/>
          <w:color w:val="auto"/>
        </w:rPr>
      </w:pPr>
    </w:p>
    <w:p>
      <w:pPr>
        <w:jc w:val="both"/>
        <w:ind w:left="80" w:hanging="72"/>
        <w:spacing w:after="0" w:line="233" w:lineRule="auto"/>
        <w:tabs>
          <w:tab w:leader="none" w:pos="84" w:val="left"/>
        </w:tabs>
        <w:numPr>
          <w:ilvl w:val="0"/>
          <w:numId w:val="6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cumulative annual TSR of the companies in our performance peer group as established by the Compensation Committee for each of the equity awards granted in the five fiscal years ended 2021 through 2025. The peer group for 2021 and 2022 is the same as that used in the Company's Common Stock Performance Graph as reported in our Annual Report on Form 10-K for the years ended December 31, 2021 and December 31, 2022 and is comprised of the following companies: Atmos Energy Corporation, Black Hills Corporation, New Jersey Resources Corporation, NiSource Inc., Northwest Natural Holding Co., NorthWestern Corporation, ONE Gas, Inc., RGC Resources, Inc., South Jersey Industries, Inc., Spire Inc., and Unitil Corporation. The peer group for 2023, 2024 and 2025 is comprised of the same companies as the peer group for 2021 and 2022, with the exception of South Jersey Industries, Inc., which was acquired by a private investment vehicle focused on investing in critical infrastructure assets in 2023 and resultantly delisted from the NYSE. Accordingly, South Jersey Industries, Inc. was removed from the peer group. The peer group for 2023, 2024 and 2025 is the same peer group as that used in the Company's Common Stock Performance Graph as reported in our Annual Report on Form 10-K for the years ended December 31, 2023, December 31, 2024 and December 31, 2025. Peer company TSR was calculated using a weighted average based on each peer company's market capitalization at the beginning of each period for which a return is indicated in the table and is presented as the dollar value of an investment of $100 over a one, two, three, four and five year cumulative period from the market close on December 31, 2020 through the fiscal years ended December 31, 2021, December 31, 2022, December 31, 2023, December 31, 2024 and December 31, 2025.</w:t>
      </w:r>
    </w:p>
    <w:p>
      <w:pPr>
        <w:ind w:left="100" w:hanging="92"/>
        <w:spacing w:after="0" w:line="202" w:lineRule="auto"/>
        <w:tabs>
          <w:tab w:leader="none" w:pos="100" w:val="left"/>
        </w:tabs>
        <w:numPr>
          <w:ilvl w:val="0"/>
          <w:numId w:val="7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Net Income as reported in our Annual Report on Form 10-K for the years ended December 31, 2021, December 31, 2022, December 31, 2023, December 31, 2024 and December 31, 2025.</w:t>
      </w:r>
    </w:p>
    <w:p>
      <w:pPr>
        <w:spacing w:after="0" w:line="1" w:lineRule="exact"/>
        <w:rPr>
          <w:sz w:val="20"/>
          <w:szCs w:val="20"/>
          <w:color w:val="auto"/>
        </w:rPr>
      </w:pPr>
    </w:p>
    <w:p>
      <w:pPr>
        <w:jc w:val="both"/>
        <w:ind w:left="80" w:hanging="72"/>
        <w:spacing w:after="0" w:line="207" w:lineRule="auto"/>
        <w:tabs>
          <w:tab w:leader="none" w:pos="100" w:val="left"/>
        </w:tabs>
        <w:numPr>
          <w:ilvl w:val="0"/>
          <w:numId w:val="7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While we use numerous financial and non-financial performance measures for the purpose of evaluating performance for our executive compensation programs, we have determined that Earnings Per Share is the financial performance measure that, in our assessment, represents the most important performance measure we used to link compensation actually paid to our NEOs for the most recently completed fiscal year to Company performance. Basic Earnings Per Share is as reported in our Annual Report on Form 10-K for the years ended December 31, 2021, December 31, 2022, December 31, 2023, December 31, 2024 and December 31, 2025.</w:t>
      </w:r>
    </w:p>
    <w:p>
      <w:pPr>
        <w:spacing w:after="0" w:line="3" w:lineRule="exact"/>
        <w:rPr>
          <w:sz w:val="20"/>
          <w:szCs w:val="20"/>
          <w:color w:val="auto"/>
        </w:rPr>
      </w:pPr>
    </w:p>
    <w:p>
      <w:pPr>
        <w:jc w:val="both"/>
        <w:ind w:left="80" w:hanging="72"/>
        <w:spacing w:after="0" w:line="209" w:lineRule="auto"/>
        <w:tabs>
          <w:tab w:leader="none" w:pos="93" w:val="left"/>
        </w:tabs>
        <w:numPr>
          <w:ilvl w:val="0"/>
          <w:numId w:val="7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Net Income and Earnings Per Share as reflected in the applicable columns of the Pay Versus Performance Table represent the Company's Net Income and Basic EPS on a GAAP basis and include transaction and transition related expenses attributable to the Company's acquisition of Florida City Gas in late 2023. Adjusted Net Income for the three fiscal years ended 2023, 2024 and 2025, excluding transaction and transition related expenses, was $97.8 million, $121.5 million, and $141.1 million, respectively. Adjusted Basic EPS for the three fiscal years ended 2023, 2024 and 2025, excluding transaction and transition related expenses, was $5.33 per share, $5.41 per share, and $6.03 per share, respectively.</w:t>
      </w:r>
    </w:p>
    <w:p>
      <w:pPr>
        <w:spacing w:after="0" w:line="58" w:lineRule="exact"/>
        <w:rPr>
          <w:sz w:val="20"/>
          <w:szCs w:val="20"/>
          <w:color w:val="auto"/>
        </w:rPr>
      </w:pPr>
    </w:p>
    <w:p>
      <w:pPr>
        <w:ind w:left="20" w:right="260"/>
        <w:spacing w:after="0" w:line="299" w:lineRule="auto"/>
        <w:rPr>
          <w:sz w:val="20"/>
          <w:szCs w:val="20"/>
          <w:color w:val="auto"/>
        </w:rPr>
      </w:pPr>
      <w:r>
        <w:rPr>
          <w:rFonts w:ascii="Times New Roman" w:cs="Times New Roman" w:eastAsia="Times New Roman" w:hAnsi="Times New Roman"/>
          <w:sz w:val="18"/>
          <w:szCs w:val="18"/>
          <w:b w:val="1"/>
          <w:bCs w:val="1"/>
          <w:color w:val="auto"/>
        </w:rPr>
        <w:t>Tabular List of the Most Important Financial Performance Measures Used to Link CAP to NEOs for the Most Recently Completed Fiscal Year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0808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ind w:left="480" w:hanging="400"/>
        <w:spacing w:after="0"/>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76" w:lineRule="exact"/>
        <w:rPr>
          <w:rFonts w:ascii="Times New Roman" w:cs="Times New Roman" w:eastAsia="Times New Roman" w:hAnsi="Times New Roman"/>
          <w:sz w:val="18"/>
          <w:szCs w:val="18"/>
          <w:color w:val="auto"/>
        </w:rPr>
      </w:pPr>
    </w:p>
    <w:p>
      <w:pPr>
        <w:ind w:left="480" w:hanging="400"/>
        <w:spacing w:after="0"/>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Long-Term Earnings (calculated as total expenditures as a percent of total capitalization)</w:t>
      </w:r>
    </w:p>
    <w:p>
      <w:pPr>
        <w:spacing w:after="0" w:line="76" w:lineRule="exact"/>
        <w:rPr>
          <w:rFonts w:ascii="Times New Roman" w:cs="Times New Roman" w:eastAsia="Times New Roman" w:hAnsi="Times New Roman"/>
          <w:sz w:val="18"/>
          <w:szCs w:val="18"/>
          <w:color w:val="auto"/>
        </w:rPr>
      </w:pPr>
    </w:p>
    <w:p>
      <w:pPr>
        <w:ind w:left="480" w:hanging="400"/>
        <w:spacing w:after="0"/>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Return on Equity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08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0808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808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08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philosophy of our current executive compensation program is provided in detail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of this Proxy Statement. The section also provides stockholders with comprehensive information on the design of our executive compensation program, as well as the mix of compensation that the Compensation Committee believes aligns the financial interests of the NEOs with the interests of our stockholders. During the Compensation Committee’s annual review of executive compensation, it considers several elements of the executive compensation program, including, but not limited to: (i) the effectiveness of the program in attracting and retaining highly qualified individuals that have a solid foundation and comprehensive perspective of the Company, its operations and competitive environment; (ii) the complex nature of our operations as a diversified energy delivery company; and (iii) the long-term focus on our strategic planning process. The executive compensation program designed by the Compensation Committee places a majority of the executive's total direct compensation at risk, and promotes a pay-for-performance culture that further aligns executive interests with the long-term interests of stockholders. While we utilize several performance measures to align executive compensation with Company performance, all of our measures are not presented in the above Pay Versus Performance table. Additional information on our executive compensation program, including tables and accompanying narratives, is available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graphs showing the relationships between information presented in the Pay Versus Performance table. Equity awards constitute a significant portion of compensation for the NEOs. Compensation Actually Paid, or CAP, will vary based on year-over-year changes in our stock price resulting in appreciation or depreciation in the value of equity awards granted to the NEOs. The value of equity awards will not be realized by the NEOs before performance goals are satisfied and applicable restrictions lapse. The ultimate value of such awards is subject to changes in the stock price.</w:t>
      </w:r>
    </w:p>
    <w:p>
      <w:pPr>
        <w:spacing w:after="0" w:line="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graphs demonstrate the relationship between CAP and TSR, CAP and Net Income, and CAP and EPS, in each case, to our CEO and to the average of the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-13335</wp:posOffset>
            </wp:positionV>
            <wp:extent cx="6172200" cy="43205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220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hanging="80"/>
        <w:spacing w:after="0" w:line="228" w:lineRule="auto"/>
        <w:rPr>
          <w:sz w:val="20"/>
          <w:szCs w:val="20"/>
          <w:color w:val="auto"/>
        </w:rPr>
      </w:pPr>
      <w:r>
        <w:rPr>
          <w:rFonts w:ascii="Times New Roman" w:cs="Times New Roman" w:eastAsia="Times New Roman" w:hAnsi="Times New Roman"/>
          <w:sz w:val="14"/>
          <w:szCs w:val="14"/>
          <w:i w:val="1"/>
          <w:iCs w:val="1"/>
          <w:color w:val="auto"/>
        </w:rPr>
        <w:t>*Net Income as reflected above represents the Company's Net Income on a GAAP basis and includes transaction and transition related expenses attributable to the Company's acquisition of Florida City Gas in late 2023. Adjusted Net Income for the three fiscal years ended 2023, 2024 and 2025, excluding transaction and transition related expenses, was $97.8 million, $121.5 million, and $141.1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-635</wp:posOffset>
            </wp:positionV>
            <wp:extent cx="6172200" cy="21342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22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80" w:hanging="80"/>
        <w:spacing w:after="0" w:line="228" w:lineRule="auto"/>
        <w:rPr>
          <w:sz w:val="20"/>
          <w:szCs w:val="20"/>
          <w:color w:val="auto"/>
        </w:rPr>
      </w:pPr>
      <w:r>
        <w:rPr>
          <w:rFonts w:ascii="Times New Roman" w:cs="Times New Roman" w:eastAsia="Times New Roman" w:hAnsi="Times New Roman"/>
          <w:sz w:val="14"/>
          <w:szCs w:val="14"/>
          <w:i w:val="1"/>
          <w:iCs w:val="1"/>
          <w:color w:val="auto"/>
        </w:rPr>
        <w:t>*Earnings Per Share as reflected above represents the Company's Basic EPS on a GAAP basis and includes transaction and transition related expenses attributable to the Company's acquisition of Florida City Gas in late 2023. Adjusted Basic EPS for the three fiscal years ended 2023, 2024 and 2025, excluding transaction and transition related expenses, was $5.33 per share, $5.41 per share, and $6.03 per share, respectively.</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49" w:name="page50"/>
    <w:bookmarkEnd w:id="49"/>
    <w:p>
      <w:pPr>
        <w:ind w:right="460"/>
        <w:spacing w:after="0" w:line="249" w:lineRule="auto"/>
        <w:rPr>
          <w:sz w:val="20"/>
          <w:szCs w:val="20"/>
          <w:color w:val="auto"/>
        </w:rPr>
      </w:pPr>
      <w:r>
        <w:rPr>
          <w:rFonts w:ascii="Times New Roman" w:cs="Times New Roman" w:eastAsia="Times New Roman" w:hAnsi="Times New Roman"/>
          <w:sz w:val="29"/>
          <w:szCs w:val="29"/>
          <w:b w:val="1"/>
          <w:bCs w:val="1"/>
          <w:color w:val="006EBF"/>
        </w:rPr>
        <w:t>Comparative Information Relating to Compensation of our Chief Executive Officer and Compensation of all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are providing the following information to comply with Section 953(b) of the Dodd-Frank Wall Street Reform and Consumer Protection Act, and Item 402(u) of Regulation S-K. For 2025, our last completed fiscal year, the median of the annual total compensation of our employees was $83,218. The annual total compensation for Mr. Householder for 2025, as reported in the Summary Compensation Table, was $4,531,322. Based on this information, for 2025, the estimate of the ratio of compensation for our Chief Executive Officer to the median employee was 54 to 1. This ratio is specific to our Company and may not be comparable to any ratio disclosed by another company.</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have used the same median employee for years 2025, 2024 and 2023, as there have been no changes to our employee population, including employees who joined through acquisition, or compensation arrangements that we reasonably believe would significantly impact our pay ratio disclosure. To identify the median of the annual total compensation of all of our employees, we reviewed 2023 compensation reflected in our payroll records as reported to the Internal Revenue Service on Form W-2 for our 1,282 employees as of December 31, 2023 for purposes of determining pay ratio, which includes employees of companies we acquired during the year. We annualized the compensation of these and other full-time employees who joined the Company in 2023 but did not work for us for the entire fiscal year. Based on the diversity of our businesses across our service territories, W-2 earnings provide a fixed and fair representation of compensation across our enterprise and thus are an appropriate measure to determine the median employee total compensation level. No other assumptions, adjustments, or estimates, including any cost-of-living adjustments, were made in identifying the median employee total compensation level. We next calculated the median employee’s annual total compensation in accordance with the requirements of Item 402(c)(2)(x) of Regulation S-K for the Summary Compensation Table, consistent with the calculations we provide for all of our NEOs. No adjustments were made to the annual total compensation of our Chief Executive Officer, as reported in the Summary Compensation Table, to calculate the reported ratio of the annual total compensation of our Chief Executive Officer to the median of the annual total compensation of all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Equity Compensation Plan Information</w:t>
      </w:r>
    </w:p>
    <w:p>
      <w:pPr>
        <w:spacing w:after="0" w:line="1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has three plans under which shares of our common stock are reserved for future issuance. As reflected in the table below, as of December 31, 2025, shares were reserved for future issuance as follows: (i) 2,317,393 shares reserved under the Dividend Reinvestment and Direct Stock Purchase Plan,</w:t>
      </w:r>
    </w:p>
    <w:p>
      <w:pPr>
        <w:spacing w:after="0" w:line="1" w:lineRule="exact"/>
        <w:rPr>
          <w:sz w:val="20"/>
          <w:szCs w:val="20"/>
          <w:color w:val="auto"/>
        </w:rPr>
      </w:pPr>
    </w:p>
    <w:p>
      <w:pPr>
        <w:ind w:firstLine="8"/>
        <w:spacing w:after="0" w:line="307" w:lineRule="auto"/>
        <w:tabs>
          <w:tab w:leader="none" w:pos="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788,495 shares reserved under the Retirement Savings Plan, and (iii) 488,457 shares reserved under the 2023 SICP, which was approved by our stockholders in May 2023.</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24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2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2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24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price of outstanding options,</w:t>
            </w:r>
          </w:p>
        </w:tc>
        <w:tc>
          <w:tcPr>
            <w:tcW w:w="2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future issuance under equity</w:t>
            </w:r>
          </w:p>
        </w:tc>
        <w:tc>
          <w:tcPr>
            <w:tcW w:w="0" w:type="dxa"/>
            <w:vAlign w:val="bottom"/>
          </w:tcPr>
          <w:p>
            <w:pPr>
              <w:spacing w:after="0"/>
              <w:rPr>
                <w:sz w:val="1"/>
                <w:szCs w:val="1"/>
                <w:color w:val="auto"/>
              </w:rPr>
            </w:pPr>
          </w:p>
        </w:tc>
      </w:tr>
      <w:tr>
        <w:trPr>
          <w:trHeight w:val="238"/>
        </w:trPr>
        <w:tc>
          <w:tcPr>
            <w:tcW w:w="2440" w:type="dxa"/>
            <w:vAlign w:val="bottom"/>
            <w:vMerge w:val="continue"/>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r>
              <w:rPr>
                <w:rFonts w:ascii="Times New Roman" w:cs="Times New Roman" w:eastAsia="Times New Roman" w:hAnsi="Times New Roman"/>
                <w:sz w:val="9"/>
                <w:szCs w:val="9"/>
                <w:color w:val="auto"/>
              </w:rPr>
              <w:t>(1)</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7"/>
        </w:trPr>
        <w:tc>
          <w:tcPr>
            <w:tcW w:w="2440" w:type="dxa"/>
            <w:vAlign w:val="bottom"/>
            <w:tcBorders>
              <w:bottom w:val="single" w:sz="8" w:color="DBDBDB"/>
            </w:tcBorders>
          </w:tcPr>
          <w:p>
            <w:pPr>
              <w:spacing w:after="0"/>
              <w:rPr>
                <w:sz w:val="2"/>
                <w:szCs w:val="2"/>
                <w:color w:val="auto"/>
              </w:rPr>
            </w:pPr>
          </w:p>
        </w:tc>
        <w:tc>
          <w:tcPr>
            <w:tcW w:w="2400" w:type="dxa"/>
            <w:vAlign w:val="bottom"/>
            <w:tcBorders>
              <w:bottom w:val="single" w:sz="8" w:color="DBDBDB"/>
            </w:tcBorders>
          </w:tcPr>
          <w:p>
            <w:pPr>
              <w:spacing w:after="0"/>
              <w:rPr>
                <w:sz w:val="2"/>
                <w:szCs w:val="2"/>
                <w:color w:val="auto"/>
              </w:rPr>
            </w:pPr>
          </w:p>
        </w:tc>
        <w:tc>
          <w:tcPr>
            <w:tcW w:w="2440" w:type="dxa"/>
            <w:vAlign w:val="bottom"/>
            <w:tcBorders>
              <w:bottom w:val="single" w:sz="8" w:color="DBDBDB"/>
            </w:tcBorders>
          </w:tcPr>
          <w:p>
            <w:pPr>
              <w:spacing w:after="0"/>
              <w:rPr>
                <w:sz w:val="2"/>
                <w:szCs w:val="2"/>
                <w:color w:val="auto"/>
              </w:rPr>
            </w:pPr>
          </w:p>
        </w:tc>
        <w:tc>
          <w:tcPr>
            <w:tcW w:w="24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440" w:type="dxa"/>
            <w:vAlign w:val="bottom"/>
            <w:tcBorders>
              <w:left w:val="single" w:sz="8" w:color="DBDBDB"/>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400" w:type="dxa"/>
            <w:vAlign w:val="bottom"/>
            <w:tcBorders>
              <w:right w:val="single" w:sz="8" w:color="DBDBDB"/>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40" w:type="dxa"/>
            <w:vAlign w:val="bottom"/>
            <w:tcBorders>
              <w:right w:val="single" w:sz="8" w:color="DBDBDB"/>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60" w:type="dxa"/>
            <w:vAlign w:val="bottom"/>
            <w:tcBorders>
              <w:right w:val="single" w:sz="8" w:color="DBDBDB"/>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488,457</w:t>
            </w:r>
          </w:p>
        </w:tc>
        <w:tc>
          <w:tcPr>
            <w:tcW w:w="0" w:type="dxa"/>
            <w:vAlign w:val="bottom"/>
          </w:tcPr>
          <w:p>
            <w:pPr>
              <w:spacing w:after="0"/>
              <w:rPr>
                <w:sz w:val="1"/>
                <w:szCs w:val="1"/>
                <w:color w:val="auto"/>
              </w:rPr>
            </w:pPr>
          </w:p>
        </w:tc>
      </w:tr>
      <w:tr>
        <w:trPr>
          <w:trHeight w:val="113"/>
        </w:trPr>
        <w:tc>
          <w:tcPr>
            <w:tcW w:w="2440" w:type="dxa"/>
            <w:vAlign w:val="bottom"/>
            <w:tcBorders>
              <w:left w:val="single" w:sz="8" w:color="DBDBDB"/>
              <w:right w:val="single" w:sz="8" w:color="DBDBDB"/>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400" w:type="dxa"/>
            <w:vAlign w:val="bottom"/>
            <w:tcBorders>
              <w:right w:val="single" w:sz="8" w:color="DBDBDB"/>
            </w:tcBorders>
            <w:vMerge w:val="continue"/>
          </w:tcPr>
          <w:p>
            <w:pPr>
              <w:spacing w:after="0"/>
              <w:rPr>
                <w:sz w:val="9"/>
                <w:szCs w:val="9"/>
                <w:color w:val="auto"/>
              </w:rPr>
            </w:pPr>
          </w:p>
        </w:tc>
        <w:tc>
          <w:tcPr>
            <w:tcW w:w="2440" w:type="dxa"/>
            <w:vAlign w:val="bottom"/>
            <w:tcBorders>
              <w:right w:val="single" w:sz="8" w:color="DBDBDB"/>
            </w:tcBorders>
            <w:vMerge w:val="continue"/>
          </w:tcPr>
          <w:p>
            <w:pPr>
              <w:spacing w:after="0"/>
              <w:rPr>
                <w:sz w:val="9"/>
                <w:szCs w:val="9"/>
                <w:color w:val="auto"/>
              </w:rPr>
            </w:pPr>
          </w:p>
        </w:tc>
        <w:tc>
          <w:tcPr>
            <w:tcW w:w="2460" w:type="dxa"/>
            <w:vAlign w:val="bottom"/>
            <w:tcBorders>
              <w:right w:val="single" w:sz="8" w:color="DBDBD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40" w:type="dxa"/>
            <w:vAlign w:val="bottom"/>
            <w:tcBorders>
              <w:left w:val="single" w:sz="8" w:color="DBDBDB"/>
              <w:right w:val="single" w:sz="8" w:color="DBDBDB"/>
            </w:tcBorders>
            <w:vMerge w:val="continue"/>
          </w:tcPr>
          <w:p>
            <w:pPr>
              <w:spacing w:after="0"/>
              <w:rPr>
                <w:sz w:val="10"/>
                <w:szCs w:val="10"/>
                <w:color w:val="auto"/>
              </w:rPr>
            </w:pPr>
          </w:p>
        </w:tc>
        <w:tc>
          <w:tcPr>
            <w:tcW w:w="2400" w:type="dxa"/>
            <w:vAlign w:val="bottom"/>
            <w:tcBorders>
              <w:right w:val="single" w:sz="8" w:color="DBDBDB"/>
            </w:tcBorders>
          </w:tcPr>
          <w:p>
            <w:pPr>
              <w:spacing w:after="0"/>
              <w:rPr>
                <w:sz w:val="10"/>
                <w:szCs w:val="10"/>
                <w:color w:val="auto"/>
              </w:rPr>
            </w:pPr>
          </w:p>
        </w:tc>
        <w:tc>
          <w:tcPr>
            <w:tcW w:w="2440" w:type="dxa"/>
            <w:vAlign w:val="bottom"/>
            <w:tcBorders>
              <w:right w:val="single" w:sz="8" w:color="DBDBDB"/>
            </w:tcBorders>
          </w:tcPr>
          <w:p>
            <w:pPr>
              <w:spacing w:after="0"/>
              <w:rPr>
                <w:sz w:val="10"/>
                <w:szCs w:val="10"/>
                <w:color w:val="auto"/>
              </w:rPr>
            </w:pPr>
          </w:p>
        </w:tc>
        <w:tc>
          <w:tcPr>
            <w:tcW w:w="2460" w:type="dxa"/>
            <w:vAlign w:val="bottom"/>
            <w:tcBorders>
              <w:right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Borders>
              <w:left w:val="single" w:sz="8" w:color="DBDBDB"/>
              <w:bottom w:val="single" w:sz="8" w:color="DBDBDB"/>
              <w:right w:val="single" w:sz="8" w:color="DBDBDB"/>
            </w:tcBorders>
          </w:tcPr>
          <w:p>
            <w:pPr>
              <w:spacing w:after="0"/>
              <w:rPr>
                <w:sz w:val="12"/>
                <w:szCs w:val="12"/>
                <w:color w:val="auto"/>
              </w:rPr>
            </w:pPr>
          </w:p>
        </w:tc>
        <w:tc>
          <w:tcPr>
            <w:tcW w:w="2400" w:type="dxa"/>
            <w:vAlign w:val="bottom"/>
            <w:tcBorders>
              <w:bottom w:val="single" w:sz="8" w:color="DBDBDB"/>
              <w:right w:val="single" w:sz="8" w:color="DBDBDB"/>
            </w:tcBorders>
          </w:tcPr>
          <w:p>
            <w:pPr>
              <w:spacing w:after="0"/>
              <w:rPr>
                <w:sz w:val="12"/>
                <w:szCs w:val="12"/>
                <w:color w:val="auto"/>
              </w:rPr>
            </w:pPr>
          </w:p>
        </w:tc>
        <w:tc>
          <w:tcPr>
            <w:tcW w:w="2440" w:type="dxa"/>
            <w:vAlign w:val="bottom"/>
            <w:tcBorders>
              <w:bottom w:val="single" w:sz="8" w:color="DBDBDB"/>
              <w:right w:val="single" w:sz="8" w:color="DBDBDB"/>
            </w:tcBorders>
          </w:tcPr>
          <w:p>
            <w:pPr>
              <w:spacing w:after="0"/>
              <w:rPr>
                <w:sz w:val="12"/>
                <w:szCs w:val="12"/>
                <w:color w:val="auto"/>
              </w:rPr>
            </w:pPr>
          </w:p>
        </w:tc>
        <w:tc>
          <w:tcPr>
            <w:tcW w:w="2460" w:type="dxa"/>
            <w:vAlign w:val="bottom"/>
            <w:tcBorders>
              <w:bottom w:val="single" w:sz="8" w:color="DBDBDB"/>
              <w:right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2440" w:type="dxa"/>
            <w:vAlign w:val="bottom"/>
            <w:tcBorders>
              <w:left w:val="single" w:sz="8" w:color="DBDBDB"/>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2400" w:type="dxa"/>
            <w:vAlign w:val="bottom"/>
            <w:tcBorders>
              <w:right w:val="single" w:sz="8" w:color="DBDBDB"/>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40" w:type="dxa"/>
            <w:vAlign w:val="bottom"/>
            <w:tcBorders>
              <w:right w:val="single" w:sz="8" w:color="DBDBDB"/>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60" w:type="dxa"/>
            <w:vAlign w:val="bottom"/>
            <w:tcBorders>
              <w:right w:val="single" w:sz="8" w:color="DBDBDB"/>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3,105,888</w:t>
            </w:r>
          </w:p>
        </w:tc>
        <w:tc>
          <w:tcPr>
            <w:tcW w:w="0" w:type="dxa"/>
            <w:vAlign w:val="bottom"/>
          </w:tcPr>
          <w:p>
            <w:pPr>
              <w:spacing w:after="0"/>
              <w:rPr>
                <w:sz w:val="1"/>
                <w:szCs w:val="1"/>
                <w:color w:val="auto"/>
              </w:rPr>
            </w:pPr>
          </w:p>
        </w:tc>
      </w:tr>
      <w:tr>
        <w:trPr>
          <w:trHeight w:val="113"/>
        </w:trPr>
        <w:tc>
          <w:tcPr>
            <w:tcW w:w="2440" w:type="dxa"/>
            <w:vAlign w:val="bottom"/>
            <w:tcBorders>
              <w:left w:val="single" w:sz="8" w:color="DBDBDB"/>
              <w:right w:val="single" w:sz="8" w:color="DBDBDB"/>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400" w:type="dxa"/>
            <w:vAlign w:val="bottom"/>
            <w:tcBorders>
              <w:right w:val="single" w:sz="8" w:color="DBDBDB"/>
            </w:tcBorders>
            <w:vMerge w:val="continue"/>
          </w:tcPr>
          <w:p>
            <w:pPr>
              <w:spacing w:after="0"/>
              <w:rPr>
                <w:sz w:val="9"/>
                <w:szCs w:val="9"/>
                <w:color w:val="auto"/>
              </w:rPr>
            </w:pPr>
          </w:p>
        </w:tc>
        <w:tc>
          <w:tcPr>
            <w:tcW w:w="2440" w:type="dxa"/>
            <w:vAlign w:val="bottom"/>
            <w:tcBorders>
              <w:right w:val="single" w:sz="8" w:color="DBDBDB"/>
            </w:tcBorders>
            <w:vMerge w:val="continue"/>
          </w:tcPr>
          <w:p>
            <w:pPr>
              <w:spacing w:after="0"/>
              <w:rPr>
                <w:sz w:val="9"/>
                <w:szCs w:val="9"/>
                <w:color w:val="auto"/>
              </w:rPr>
            </w:pPr>
          </w:p>
        </w:tc>
        <w:tc>
          <w:tcPr>
            <w:tcW w:w="2460" w:type="dxa"/>
            <w:vAlign w:val="bottom"/>
            <w:tcBorders>
              <w:right w:val="single" w:sz="8" w:color="DBDBD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440" w:type="dxa"/>
            <w:vAlign w:val="bottom"/>
            <w:tcBorders>
              <w:left w:val="single" w:sz="8" w:color="DBDBDB"/>
              <w:right w:val="single" w:sz="8" w:color="DBDBDB"/>
            </w:tcBorders>
            <w:vMerge w:val="continue"/>
          </w:tcPr>
          <w:p>
            <w:pPr>
              <w:spacing w:after="0"/>
              <w:rPr>
                <w:sz w:val="10"/>
                <w:szCs w:val="10"/>
                <w:color w:val="auto"/>
              </w:rPr>
            </w:pPr>
          </w:p>
        </w:tc>
        <w:tc>
          <w:tcPr>
            <w:tcW w:w="2400" w:type="dxa"/>
            <w:vAlign w:val="bottom"/>
            <w:tcBorders>
              <w:right w:val="single" w:sz="8" w:color="DBDBDB"/>
            </w:tcBorders>
          </w:tcPr>
          <w:p>
            <w:pPr>
              <w:spacing w:after="0"/>
              <w:rPr>
                <w:sz w:val="10"/>
                <w:szCs w:val="10"/>
                <w:color w:val="auto"/>
              </w:rPr>
            </w:pPr>
          </w:p>
        </w:tc>
        <w:tc>
          <w:tcPr>
            <w:tcW w:w="2440" w:type="dxa"/>
            <w:vAlign w:val="bottom"/>
            <w:tcBorders>
              <w:right w:val="single" w:sz="8" w:color="DBDBDB"/>
            </w:tcBorders>
          </w:tcPr>
          <w:p>
            <w:pPr>
              <w:spacing w:after="0"/>
              <w:rPr>
                <w:sz w:val="10"/>
                <w:szCs w:val="10"/>
                <w:color w:val="auto"/>
              </w:rPr>
            </w:pPr>
          </w:p>
        </w:tc>
        <w:tc>
          <w:tcPr>
            <w:tcW w:w="2460" w:type="dxa"/>
            <w:vAlign w:val="bottom"/>
            <w:tcBorders>
              <w:right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Borders>
              <w:left w:val="single" w:sz="8" w:color="DBDBDB"/>
              <w:bottom w:val="single" w:sz="8" w:color="DBDBDB"/>
              <w:right w:val="single" w:sz="8" w:color="DBDBDB"/>
            </w:tcBorders>
          </w:tcPr>
          <w:p>
            <w:pPr>
              <w:spacing w:after="0"/>
              <w:rPr>
                <w:sz w:val="12"/>
                <w:szCs w:val="12"/>
                <w:color w:val="auto"/>
              </w:rPr>
            </w:pPr>
          </w:p>
        </w:tc>
        <w:tc>
          <w:tcPr>
            <w:tcW w:w="2400" w:type="dxa"/>
            <w:vAlign w:val="bottom"/>
            <w:tcBorders>
              <w:bottom w:val="single" w:sz="8" w:color="DBDBDB"/>
              <w:right w:val="single" w:sz="8" w:color="DBDBDB"/>
            </w:tcBorders>
          </w:tcPr>
          <w:p>
            <w:pPr>
              <w:spacing w:after="0"/>
              <w:rPr>
                <w:sz w:val="12"/>
                <w:szCs w:val="12"/>
                <w:color w:val="auto"/>
              </w:rPr>
            </w:pPr>
          </w:p>
        </w:tc>
        <w:tc>
          <w:tcPr>
            <w:tcW w:w="2440" w:type="dxa"/>
            <w:vAlign w:val="bottom"/>
            <w:tcBorders>
              <w:bottom w:val="single" w:sz="8" w:color="DBDBDB"/>
              <w:right w:val="single" w:sz="8" w:color="DBDBDB"/>
            </w:tcBorders>
          </w:tcPr>
          <w:p>
            <w:pPr>
              <w:spacing w:after="0"/>
              <w:rPr>
                <w:sz w:val="12"/>
                <w:szCs w:val="12"/>
                <w:color w:val="auto"/>
              </w:rPr>
            </w:pPr>
          </w:p>
        </w:tc>
        <w:tc>
          <w:tcPr>
            <w:tcW w:w="2460" w:type="dxa"/>
            <w:vAlign w:val="bottom"/>
            <w:tcBorders>
              <w:bottom w:val="single" w:sz="8" w:color="DBDBDB"/>
              <w:right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2440" w:type="dxa"/>
            <w:vAlign w:val="bottom"/>
            <w:tcBorders>
              <w:left w:val="single" w:sz="8" w:color="DBDBDB"/>
              <w:right w:val="single" w:sz="8" w:color="DBDBDB"/>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40" w:type="dxa"/>
            <w:vAlign w:val="bottom"/>
            <w:tcBorders>
              <w:right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60" w:type="dxa"/>
            <w:vAlign w:val="bottom"/>
            <w:tcBorders>
              <w:right w:val="single" w:sz="8" w:color="DBDBDB"/>
            </w:tcBorders>
          </w:tcPr>
          <w:p>
            <w:pPr>
              <w:jc w:val="right"/>
              <w:ind w:right="810"/>
              <w:spacing w:after="0"/>
              <w:rPr>
                <w:sz w:val="20"/>
                <w:szCs w:val="20"/>
                <w:color w:val="auto"/>
              </w:rPr>
            </w:pPr>
            <w:r>
              <w:rPr>
                <w:rFonts w:ascii="Times New Roman" w:cs="Times New Roman" w:eastAsia="Times New Roman" w:hAnsi="Times New Roman"/>
                <w:sz w:val="18"/>
                <w:szCs w:val="18"/>
                <w:color w:val="auto"/>
              </w:rPr>
              <w:t>3,594,345</w:t>
            </w:r>
          </w:p>
        </w:tc>
        <w:tc>
          <w:tcPr>
            <w:tcW w:w="0" w:type="dxa"/>
            <w:vAlign w:val="bottom"/>
          </w:tcPr>
          <w:p>
            <w:pPr>
              <w:spacing w:after="0"/>
              <w:rPr>
                <w:sz w:val="1"/>
                <w:szCs w:val="1"/>
                <w:color w:val="auto"/>
              </w:rPr>
            </w:pPr>
          </w:p>
        </w:tc>
      </w:tr>
      <w:tr>
        <w:trPr>
          <w:trHeight w:val="175"/>
        </w:trPr>
        <w:tc>
          <w:tcPr>
            <w:tcW w:w="2440" w:type="dxa"/>
            <w:vAlign w:val="bottom"/>
            <w:tcBorders>
              <w:left w:val="single" w:sz="8" w:color="DBDBDB"/>
              <w:bottom w:val="single" w:sz="8" w:color="DBDBDB"/>
              <w:right w:val="single" w:sz="8" w:color="DBDBDB"/>
            </w:tcBorders>
          </w:tcPr>
          <w:p>
            <w:pPr>
              <w:spacing w:after="0"/>
              <w:rPr>
                <w:sz w:val="15"/>
                <w:szCs w:val="15"/>
                <w:color w:val="auto"/>
              </w:rPr>
            </w:pPr>
          </w:p>
        </w:tc>
        <w:tc>
          <w:tcPr>
            <w:tcW w:w="2400" w:type="dxa"/>
            <w:vAlign w:val="bottom"/>
            <w:tcBorders>
              <w:bottom w:val="single" w:sz="8" w:color="DBDBDB"/>
              <w:right w:val="single" w:sz="8" w:color="DBDBDB"/>
            </w:tcBorders>
          </w:tcPr>
          <w:p>
            <w:pPr>
              <w:spacing w:after="0"/>
              <w:rPr>
                <w:sz w:val="15"/>
                <w:szCs w:val="15"/>
                <w:color w:val="auto"/>
              </w:rPr>
            </w:pPr>
          </w:p>
        </w:tc>
        <w:tc>
          <w:tcPr>
            <w:tcW w:w="2440" w:type="dxa"/>
            <w:vAlign w:val="bottom"/>
            <w:tcBorders>
              <w:bottom w:val="single" w:sz="8" w:color="DBDBDB"/>
              <w:right w:val="single" w:sz="8" w:color="DBDBDB"/>
            </w:tcBorders>
          </w:tcPr>
          <w:p>
            <w:pPr>
              <w:spacing w:after="0"/>
              <w:rPr>
                <w:sz w:val="15"/>
                <w:szCs w:val="15"/>
                <w:color w:val="auto"/>
              </w:rPr>
            </w:pPr>
          </w:p>
        </w:tc>
        <w:tc>
          <w:tcPr>
            <w:tcW w:w="2460" w:type="dxa"/>
            <w:vAlign w:val="bottom"/>
            <w:tcBorders>
              <w:bottom w:val="single" w:sz="8" w:color="DBDBDB"/>
              <w:right w:val="single" w:sz="8" w:color="DBDBD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00" w:hanging="92"/>
        <w:spacing w:after="0"/>
        <w:tabs>
          <w:tab w:leader="none" w:pos="100" w:val="left"/>
        </w:tabs>
        <w:numPr>
          <w:ilvl w:val="0"/>
          <w:numId w:val="7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There are no outstanding options, warrants or rights under any of the Company's equity plans.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Compensation Committee Interlocks and Insider Participation</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Lisa G. Bisaccia, Chair, Ronald G. Forsythe, Jr. and Sheree M. Petrone serve as members of the Compensation Committee. Each member of the Compensation Committee is independent as required by the NYSE Listing Standards. No member of the Compensation Committee, at any time, has been employed by the Company, or been a participant in a related person transaction with the Company. There were no Compensation Committee interlocks or insider (employee) participation during 2025.</w:t>
      </w:r>
    </w:p>
    <w:p>
      <w:pPr>
        <w:sectPr>
          <w:pgSz w:w="11900" w:h="16838" w:orient="portrait"/>
          <w:cols w:equalWidth="0" w:num="1">
            <w:col w:w="11240"/>
          </w:cols>
          <w:pgMar w:left="320" w:top="8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CHESAPEAKE UTILITIES CORPORATION - 2026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type w:val="continuous"/>
        </w:sectPr>
      </w:pPr>
    </w:p>
    <w:bookmarkStart w:id="50" w:name="page51"/>
    <w:bookmarkEnd w:id="50"/>
    <w:p>
      <w:pPr>
        <w:ind w:right="4420"/>
        <w:spacing w:after="0" w:line="318" w:lineRule="auto"/>
        <w:rPr>
          <w:sz w:val="20"/>
          <w:szCs w:val="20"/>
          <w:color w:val="auto"/>
        </w:rPr>
      </w:pPr>
      <w:r>
        <w:rPr>
          <w:rFonts w:ascii="Times New Roman" w:cs="Times New Roman" w:eastAsia="Times New Roman" w:hAnsi="Times New Roman"/>
          <w:sz w:val="36"/>
          <w:szCs w:val="36"/>
          <w:b w:val="1"/>
          <w:bCs w:val="1"/>
          <w:color w:val="00497F"/>
        </w:rPr>
        <w:t>8 - OTHER IMPORTANT INFORMATION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42" w:lineRule="auto"/>
        <w:rPr>
          <w:sz w:val="20"/>
          <w:szCs w:val="20"/>
          <w:color w:val="auto"/>
        </w:rPr>
      </w:pPr>
      <w:r>
        <w:rPr>
          <w:rFonts w:ascii="Times New Roman" w:cs="Times New Roman" w:eastAsia="Times New Roman" w:hAnsi="Times New Roman"/>
          <w:sz w:val="18"/>
          <w:szCs w:val="18"/>
          <w:color w:val="auto"/>
        </w:rPr>
        <w:t>A quorum must be present in order for business to be conducted at the Meeting. A quorum consists of the holders of a majority of the shares of common stock outstanding on our record date. Shares represented at the Meeting or by proxy will be counted in determining whether a quorum exists. If you abstain or withhold your vote, your shares will be treated as present and entitled to vote in determining the presence of a quorum. Broker non-votes will be counted as present at the Meeting for quorum purposes. The Company's Inspector of Elections will tabulate the votes and determine whether a quorum is present.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Soliciting Proxies</w:t>
      </w:r>
    </w:p>
    <w:p>
      <w:pPr>
        <w:spacing w:after="0" w:line="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will pay all costs relating to the solicitation of proxies. We have hired Georgeson LLC, a proxy solicitation firm, to assist us in soliciting proxies for a fee of $13,500 plus reasonable expenses. Proxies may be solicited by our directors, officers and employees by personal interview, mail, telephone or e-mail. In addition, we may engage other consultants at our expense to solicit proxies.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Revoking a Proxy</w:t>
      </w:r>
    </w:p>
    <w:p>
      <w:pPr>
        <w:spacing w:after="0" w:line="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You may revoke your proxy at any time before voting is declared closed at the Meeting by: (i) voting at the Meeting; (ii) executing and delivering a subsequent proxy; (iii) submitting another timely and later dated proxy by telephone or the internet; or (iv) delivering a written statement to the Corporate Secretary of the Company revoking the proxy. Attendance at the Meeting alone will not revoke your proxy.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Householding</w:t>
      </w:r>
    </w:p>
    <w:p>
      <w:pPr>
        <w:spacing w:after="0" w:line="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Stockholders of record who have the same last name and address and who request paper copies of the proxy materials or Annual Report will receive only one copy of the proxy materials. Brokers and banks that hold our stock on your behalf may provide you with one copy of the proxy materials and Annual Report if the bank or broker is aware that more than one stockholder at your address have the same last name or they reasonably believe that the stockholders are members of the same family. If you receive a notice from your broker or bank stating that they intend to send only one copy of the proxy materials to your address, and members of your household do not object, then you will have consented to this arrangement. Stockholders of record that received one copy of the proxy statement or Annual Report as a result of householding may request to receive separate copies of these materials by contacting the Corporate Secretary at Chesapeake Utilities Corporation, 500 Energy Lane, Dover, Delaware 19901 or (888) 742-5275. If your shares are held through a broker or bank, you should contact the broker or bank directly to request multiple copies of the proxy statement and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Stockholder Proposals</w:t>
      </w:r>
    </w:p>
    <w:p>
      <w:pPr>
        <w:spacing w:after="0" w:line="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To be considered for inclusion in our proxy statement mailed in 2027, stockholder proposals must be received in proper written form at our principal executive office on or before November 25, 2026 and must comply with the requirements for Rule 14a-8 of the Exchange Act. Stockholder proposals should be directed to the Corporate Secretary at Chesapeake Utilities Corporation, 500 Energy Lane, Dover, Delaware 19901. A stockholder wishing to bring business or make a nomination before stockholders at the 2027 Annual Meeting (that will not be included in our proxy statement) must provide written notice to the Corporate Secretary and must otherwise comply with the requirements set forth in our Bylaws. The notice must be received by the Company at its principal executive office not earlier than the close of business on the 120th day, and not later than the close of business on the 90th day, prior to the first anniversary of the 2026 Meeting. In the event that our annual meeting is more than 30 days before or more than 60 days after such anniversary date, you should refer to our Bylaws for specific requirements. In accordance with our Bylaws, a stockholder’s notice must include the information set forth in our Bylaws which includes, among other things, a description of the business to be brought before the meeting, Ownership and Rights Information (as defined in our Bylaws), and any other information that would be required to be made in connection with the solicitation of proxies. A stockholder’s notice must also include a representation as to the accuracy of the information that is being provided. We have provided additional information in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xml:space="preserve"> section of this Proxy Statement under subsection </w:t>
      </w:r>
      <w:r>
        <w:rPr>
          <w:rFonts w:ascii="Times New Roman" w:cs="Times New Roman" w:eastAsia="Times New Roman" w:hAnsi="Times New Roman"/>
          <w:sz w:val="18"/>
          <w:szCs w:val="18"/>
          <w:i w:val="1"/>
          <w:iCs w:val="1"/>
          <w:color w:val="auto"/>
        </w:rPr>
        <w:t>Director Nominations</w:t>
      </w:r>
      <w:r>
        <w:rPr>
          <w:rFonts w:ascii="Times New Roman" w:cs="Times New Roman" w:eastAsia="Times New Roman" w:hAnsi="Times New Roman"/>
          <w:sz w:val="18"/>
          <w:szCs w:val="18"/>
          <w:color w:val="auto"/>
        </w:rPr>
        <w:t>. To comply with the universal proxy rules, stockholders who intend to solicit proxies in support of director nominees other than the Company’s nominees must provide notice that sets forth the information required by Rule 14a-19 under the Securities Exchange Act of 1934, as amended, no later than March 7, 2027.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00497F"/>
        </w:rPr>
        <w:t>Annual Report on Form 10-K</w:t>
      </w:r>
    </w:p>
    <w:p>
      <w:pPr>
        <w:spacing w:after="0" w:line="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your request, we will provide, without charge, a copy of our 2025 Annual Report which contains our Annual Report on Form 10-K for the year ended December 31, 2025. The Annual Report provides financial information to our stockholders. The Annual Report is not, and shall not be considered, “soliciting material,” or be “filed” with the SEC nor shall this information be subject to the liabilities of Section 18 of the Securities Exchange Act of 1934, as amended. Please direct all written requests to the Corporate Secretary, Chesapeake Utilities Corporation, 500 Energy Lane, Dover, Delaware 19901.</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CHESAPEAKE UTILITIES CORPORATION - 2026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612140</wp:posOffset>
            </wp:positionV>
            <wp:extent cx="7157720" cy="86626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8662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612140</wp:posOffset>
            </wp:positionV>
            <wp:extent cx="7157720" cy="8662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8662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612140</wp:posOffset>
            </wp:positionV>
            <wp:extent cx="6172200" cy="79806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upperLetter"/>
      <w:start w:val="24"/>
    </w:lvl>
  </w:abstractNum>
  <w:abstractNum w:abstractNumId="1">
    <w:nsid w:val="2463B9EA"/>
    <w:multiLevelType w:val="hybridMultilevel"/>
    <w:lvl w:ilvl="0">
      <w:lvlJc w:val="left"/>
      <w:lvlText w:val="[%1]"/>
      <w:numFmt w:val="upperLetter"/>
      <w:start w:val="24"/>
    </w:lvl>
  </w:abstractNum>
  <w:abstractNum w:abstractNumId="2">
    <w:nsid w:val="5E884ADC"/>
    <w:multiLevelType w:val="hybridMultilevel"/>
    <w:lvl w:ilvl="0">
      <w:lvlJc w:val="left"/>
      <w:lvlText w:val="1"/>
      <w:numFmt w:val="bullet"/>
      <w:start w:val="1"/>
    </w:lvl>
  </w:abstractNum>
  <w:abstractNum w:abstractNumId="3">
    <w:nsid w:val="51EAD36B"/>
    <w:multiLevelType w:val="hybridMultilevel"/>
    <w:lvl w:ilvl="0">
      <w:lvlJc w:val="left"/>
      <w:lvlText w:val="2"/>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bullet"/>
      <w:start w:val="1"/>
    </w:lvl>
  </w:abstractNum>
  <w:abstractNum w:abstractNumId="19">
    <w:nsid w:val="38437FDB"/>
    <w:multiLevelType w:val="hybridMultilevel"/>
    <w:lvl w:ilvl="0">
      <w:lvlJc w:val="left"/>
      <w:lvlText w:val="2"/>
      <w:numFmt w:val="bullet"/>
      <w:start w:val="1"/>
    </w:lvl>
  </w:abstractNum>
  <w:abstractNum w:abstractNumId="20">
    <w:nsid w:val="7644A45C"/>
    <w:multiLevelType w:val="hybridMultilevel"/>
    <w:lvl w:ilvl="0">
      <w:lvlJc w:val="left"/>
      <w:lvlText w:val="3"/>
      <w:numFmt w:val="bullet"/>
      <w:start w:val="1"/>
    </w:lvl>
  </w:abstractNum>
  <w:abstractNum w:abstractNumId="21">
    <w:nsid w:val="32FFF902"/>
    <w:multiLevelType w:val="hybridMultilevel"/>
    <w:lvl w:ilvl="0">
      <w:lvlJc w:val="left"/>
      <w:lvlText w:val="1"/>
      <w:numFmt w:val="bullet"/>
      <w:start w:val="1"/>
    </w:lvl>
  </w:abstractNum>
  <w:abstractNum w:abstractNumId="22">
    <w:nsid w:val="684A481A"/>
    <w:multiLevelType w:val="hybridMultilevel"/>
    <w:lvl w:ilvl="0">
      <w:lvlJc w:val="left"/>
      <w:lvlText w:val="2"/>
      <w:numFmt w:val="bullet"/>
      <w:start w:val="1"/>
    </w:lvl>
  </w:abstractNum>
  <w:abstractNum w:abstractNumId="23">
    <w:nsid w:val="579478FE"/>
    <w:multiLevelType w:val="hybridMultilevel"/>
    <w:lvl w:ilvl="0">
      <w:lvlJc w:val="left"/>
      <w:lvlText w:val="3"/>
      <w:numFmt w:val="bullet"/>
      <w:start w:val="1"/>
    </w:lvl>
  </w:abstractNum>
  <w:abstractNum w:abstractNumId="24">
    <w:nsid w:val="749ABB43"/>
    <w:multiLevelType w:val="hybridMultilevel"/>
    <w:lvl w:ilvl="0">
      <w:lvlJc w:val="left"/>
      <w:lvlText w:val="4"/>
      <w:numFmt w:val="bullet"/>
      <w:start w:val="1"/>
    </w:lvl>
  </w:abstractNum>
  <w:abstractNum w:abstractNumId="25">
    <w:nsid w:val="3DC240FB"/>
    <w:multiLevelType w:val="hybridMultilevel"/>
    <w:lvl w:ilvl="0">
      <w:lvlJc w:val="left"/>
      <w:lvlText w:val="5"/>
      <w:numFmt w:val="bullet"/>
      <w:start w:val="1"/>
    </w:lvl>
  </w:abstractNum>
  <w:abstractNum w:abstractNumId="26">
    <w:nsid w:val="1BA026FA"/>
    <w:multiLevelType w:val="hybridMultilevel"/>
    <w:lvl w:ilvl="0">
      <w:lvlJc w:val="left"/>
      <w:lvlText w:val="6"/>
      <w:numFmt w:val="bullet"/>
      <w:start w:val="1"/>
    </w:lvl>
  </w:abstractNum>
  <w:abstractNum w:abstractNumId="27">
    <w:nsid w:val="79A1DEAA"/>
    <w:multiLevelType w:val="hybridMultilevel"/>
    <w:lvl w:ilvl="0">
      <w:lvlJc w:val="left"/>
      <w:lvlText w:val="7"/>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bullet"/>
      <w:start w:val="1"/>
    </w:lvl>
  </w:abstractNum>
  <w:abstractNum w:abstractNumId="30">
    <w:nsid w:val="70C6A529"/>
    <w:multiLevelType w:val="hybridMultilevel"/>
    <w:lvl w:ilvl="0">
      <w:lvlJc w:val="left"/>
      <w:lvlText w:val="2"/>
      <w:numFmt w:val="bullet"/>
      <w:start w:val="1"/>
    </w:lvl>
  </w:abstractNum>
  <w:abstractNum w:abstractNumId="31">
    <w:nsid w:val="520EEDD1"/>
    <w:multiLevelType w:val="hybridMultilevel"/>
    <w:lvl w:ilvl="0">
      <w:lvlJc w:val="left"/>
      <w:lvlText w:val="3"/>
      <w:numFmt w:val="bullet"/>
      <w:start w:val="1"/>
    </w:lvl>
  </w:abstractNum>
  <w:abstractNum w:abstractNumId="32">
    <w:nsid w:val="374A3FE6"/>
    <w:multiLevelType w:val="hybridMultilevel"/>
    <w:lvl w:ilvl="0">
      <w:lvlJc w:val="left"/>
      <w:lvlText w:val="4"/>
      <w:numFmt w:val="bullet"/>
      <w:start w:val="1"/>
    </w:lvl>
  </w:abstractNum>
  <w:abstractNum w:abstractNumId="33">
    <w:nsid w:val="4F4EF005"/>
    <w:multiLevelType w:val="hybridMultilevel"/>
    <w:lvl w:ilvl="0">
      <w:lvlJc w:val="left"/>
      <w:lvlText w:val="5"/>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bullet"/>
      <w:start w:val="1"/>
    </w:lvl>
  </w:abstractNum>
  <w:abstractNum w:abstractNumId="39">
    <w:nsid w:val="180115BE"/>
    <w:multiLevelType w:val="hybridMultilevel"/>
    <w:lvl w:ilvl="0">
      <w:lvlJc w:val="left"/>
      <w:lvlText w:val="2"/>
      <w:numFmt w:val="bullet"/>
      <w:start w:val="1"/>
    </w:lvl>
  </w:abstractNum>
  <w:abstractNum w:abstractNumId="40">
    <w:nsid w:val="235BA861"/>
    <w:multiLevelType w:val="hybridMultilevel"/>
    <w:lvl w:ilvl="0">
      <w:lvlJc w:val="left"/>
      <w:lvlText w:val="(%1)"/>
      <w:numFmt w:val="lowerRoman"/>
      <w:start w:val="3"/>
    </w:lvl>
  </w:abstractNum>
  <w:abstractNum w:abstractNumId="41">
    <w:nsid w:val="47398C89"/>
    <w:multiLevelType w:val="hybridMultilevel"/>
    <w:lvl w:ilvl="0">
      <w:lvlJc w:val="left"/>
      <w:lvlText w:val="1"/>
      <w:numFmt w:val="bullet"/>
      <w:start w:val="1"/>
    </w:lvl>
  </w:abstractNum>
  <w:abstractNum w:abstractNumId="42">
    <w:nsid w:val="354FE9F9"/>
    <w:multiLevelType w:val="hybridMultilevel"/>
    <w:lvl w:ilvl="0">
      <w:lvlJc w:val="left"/>
      <w:lvlText w:val="1"/>
      <w:numFmt w:val="bullet"/>
      <w:start w:val="1"/>
    </w:lvl>
  </w:abstractNum>
  <w:abstractNum w:abstractNumId="43">
    <w:nsid w:val="15B5AF5C"/>
    <w:multiLevelType w:val="hybridMultilevel"/>
    <w:lvl w:ilvl="0">
      <w:lvlJc w:val="left"/>
      <w:lvlText w:val="1"/>
      <w:numFmt w:val="bullet"/>
      <w:start w:val="1"/>
    </w:lvl>
  </w:abstractNum>
  <w:abstractNum w:abstractNumId="44">
    <w:nsid w:val="741226BB"/>
    <w:multiLevelType w:val="hybridMultilevel"/>
    <w:lvl w:ilvl="0">
      <w:lvlJc w:val="left"/>
      <w:lvlText w:val="1"/>
      <w:numFmt w:val="bullet"/>
      <w:start w:val="1"/>
    </w:lvl>
  </w:abstractNum>
  <w:abstractNum w:abstractNumId="45">
    <w:nsid w:val="D34B6A8"/>
    <w:multiLevelType w:val="hybridMultilevel"/>
    <w:lvl w:ilvl="0">
      <w:lvlJc w:val="left"/>
      <w:lvlText w:val="2"/>
      <w:numFmt w:val="bullet"/>
      <w:start w:val="1"/>
    </w:lvl>
  </w:abstractNum>
  <w:abstractNum w:abstractNumId="46">
    <w:nsid w:val="10233C99"/>
    <w:multiLevelType w:val="hybridMultilevel"/>
    <w:lvl w:ilvl="0">
      <w:lvlJc w:val="left"/>
      <w:lvlText w:val="3"/>
      <w:numFmt w:val="bullet"/>
      <w:start w:val="1"/>
    </w:lvl>
  </w:abstractNum>
  <w:abstractNum w:abstractNumId="47">
    <w:nsid w:val="3F6AB60F"/>
    <w:multiLevelType w:val="hybridMultilevel"/>
    <w:lvl w:ilvl="0">
      <w:lvlJc w:val="left"/>
      <w:lvlText w:val="4"/>
      <w:numFmt w:val="bullet"/>
      <w:start w:val="1"/>
    </w:lvl>
  </w:abstractNum>
  <w:abstractNum w:abstractNumId="48">
    <w:nsid w:val="61574095"/>
    <w:multiLevelType w:val="hybridMultilevel"/>
    <w:lvl w:ilvl="0">
      <w:lvlJc w:val="left"/>
      <w:lvlText w:val="6"/>
      <w:numFmt w:val="bullet"/>
      <w:start w:val="1"/>
    </w:lvl>
  </w:abstractNum>
  <w:abstractNum w:abstractNumId="49">
    <w:nsid w:val="7E0C57B1"/>
    <w:multiLevelType w:val="hybridMultilevel"/>
    <w:lvl w:ilvl="0">
      <w:lvlJc w:val="left"/>
      <w:lvlText w:val="1"/>
      <w:numFmt w:val="bullet"/>
      <w:start w:val="1"/>
    </w:lvl>
  </w:abstractNum>
  <w:abstractNum w:abstractNumId="50">
    <w:nsid w:val="77AE35EB"/>
    <w:multiLevelType w:val="hybridMultilevel"/>
    <w:lvl w:ilvl="0">
      <w:lvlJc w:val="left"/>
      <w:lvlText w:val="2"/>
      <w:numFmt w:val="bullet"/>
      <w:start w:val="1"/>
    </w:lvl>
  </w:abstractNum>
  <w:abstractNum w:abstractNumId="51">
    <w:nsid w:val="579BE4F1"/>
    <w:multiLevelType w:val="hybridMultilevel"/>
    <w:lvl w:ilvl="0">
      <w:lvlJc w:val="left"/>
      <w:lvlText w:val="1"/>
      <w:numFmt w:val="bullet"/>
      <w:start w:val="1"/>
    </w:lvl>
  </w:abstractNum>
  <w:abstractNum w:abstractNumId="52">
    <w:nsid w:val="310C50B3"/>
    <w:multiLevelType w:val="hybridMultilevel"/>
    <w:lvl w:ilvl="0">
      <w:lvlJc w:val="left"/>
      <w:lvlText w:val="2"/>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bullet"/>
      <w:start w:val="1"/>
    </w:lvl>
  </w:abstractNum>
  <w:abstractNum w:abstractNumId="55">
    <w:nsid w:val="25A70BF7"/>
    <w:multiLevelType w:val="hybridMultilevel"/>
    <w:lvl w:ilvl="0">
      <w:lvlJc w:val="left"/>
      <w:lvlText w:val="2"/>
      <w:numFmt w:val="bullet"/>
      <w:start w:val="1"/>
    </w:lvl>
  </w:abstractNum>
  <w:abstractNum w:abstractNumId="56">
    <w:nsid w:val="1DBABF00"/>
    <w:multiLevelType w:val="hybridMultilevel"/>
    <w:lvl w:ilvl="0">
      <w:lvlJc w:val="left"/>
      <w:lvlText w:val="3"/>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bullet"/>
      <w:start w:val="1"/>
    </w:lvl>
  </w:abstractNum>
  <w:abstractNum w:abstractNumId="59">
    <w:nsid w:val="1381823A"/>
    <w:multiLevelType w:val="hybridMultilevel"/>
    <w:lvl w:ilvl="0">
      <w:lvlJc w:val="left"/>
      <w:lvlText w:val="2"/>
      <w:numFmt w:val="bullet"/>
      <w:start w:val="1"/>
    </w:lvl>
  </w:abstractNum>
  <w:abstractNum w:abstractNumId="60">
    <w:nsid w:val="5DB70AE5"/>
    <w:multiLevelType w:val="hybridMultilevel"/>
    <w:lvl w:ilvl="0">
      <w:lvlJc w:val="left"/>
      <w:lvlText w:val="3"/>
      <w:numFmt w:val="bullet"/>
      <w:start w:val="1"/>
    </w:lvl>
  </w:abstractNum>
  <w:abstractNum w:abstractNumId="61">
    <w:nsid w:val="100F8FCA"/>
    <w:multiLevelType w:val="hybridMultilevel"/>
    <w:lvl w:ilvl="0">
      <w:lvlJc w:val="left"/>
      <w:lvlText w:val="4"/>
      <w:numFmt w:val="bullet"/>
      <w:start w:val="1"/>
    </w:lvl>
  </w:abstractNum>
  <w:abstractNum w:abstractNumId="62">
    <w:nsid w:val="6590700B"/>
    <w:multiLevelType w:val="hybridMultilevel"/>
    <w:lvl w:ilvl="0">
      <w:lvlJc w:val="left"/>
      <w:lvlText w:val="5"/>
      <w:numFmt w:val="bullet"/>
      <w:start w:val="1"/>
    </w:lvl>
  </w:abstractNum>
  <w:abstractNum w:abstractNumId="63">
    <w:nsid w:val="15014ACB"/>
    <w:multiLevelType w:val="hybridMultilevel"/>
    <w:lvl w:ilvl="0">
      <w:lvlJc w:val="left"/>
      <w:lvlText w:val="1"/>
      <w:numFmt w:val="bullet"/>
      <w:start w:val="1"/>
    </w:lvl>
  </w:abstractNum>
  <w:abstractNum w:abstractNumId="64">
    <w:nsid w:val="5F5E7FD0"/>
    <w:multiLevelType w:val="hybridMultilevel"/>
    <w:lvl w:ilvl="0">
      <w:lvlJc w:val="left"/>
      <w:lvlText w:val="2"/>
      <w:numFmt w:val="bullet"/>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3"/>
      <w:numFmt w:val="bullet"/>
      <w:start w:val="1"/>
    </w:lvl>
  </w:abstractNum>
  <w:abstractNum w:abstractNumId="68">
    <w:nsid w:val="42C296BD"/>
    <w:multiLevelType w:val="hybridMultilevel"/>
    <w:lvl w:ilvl="0">
      <w:lvlJc w:val="left"/>
      <w:lvlText w:val="4"/>
      <w:numFmt w:val="bullet"/>
      <w:start w:val="1"/>
    </w:lvl>
  </w:abstractNum>
  <w:abstractNum w:abstractNumId="69">
    <w:nsid w:val="168E121F"/>
    <w:multiLevelType w:val="hybridMultilevel"/>
    <w:lvl w:ilvl="0">
      <w:lvlJc w:val="left"/>
      <w:lvlText w:val="5"/>
      <w:numFmt w:val="bullet"/>
      <w:start w:val="1"/>
    </w:lvl>
  </w:abstractNum>
  <w:abstractNum w:abstractNumId="70">
    <w:nsid w:val="1EBA5D23"/>
    <w:multiLevelType w:val="hybridMultilevel"/>
    <w:lvl w:ilvl="0">
      <w:lvlJc w:val="left"/>
      <w:lvlText w:val="6"/>
      <w:numFmt w:val="bullet"/>
      <w:start w:val="1"/>
    </w:lvl>
  </w:abstractNum>
  <w:abstractNum w:abstractNumId="71">
    <w:nsid w:val="661E3F1E"/>
    <w:multiLevelType w:val="hybridMultilevel"/>
    <w:lvl w:ilvl="0">
      <w:lvlJc w:val="left"/>
      <w:lvlText w:val="7"/>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lowerRoman"/>
      <w:start w:val="2"/>
    </w:lvl>
  </w:abstractNum>
  <w:abstractNum w:abstractNumId="74">
    <w:nsid w:val="7BD3EE7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2026-03-25T09:48:56Z</dcterms:created>
  <dcterms:modified xsi:type="dcterms:W3CDTF">2026-03-25T09:48:56Z</dcterms:modified>
</cp:coreProperties>
</file>