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Moriarty James F</w:t>
              </w:r>
            </w:hyperlink>
          </w:p>
        </w:tc>
        <w:tc>
          <w:tcPr>
            <w:tcW w:w="7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CHESAPEAKE UTILITIES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CPK</w:t>
            </w: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Borders>
              <w:bottom w:val="single" w:sz="8" w:color="0000EE"/>
            </w:tcBorders>
            <w:gridSpan w:val="3"/>
            <w:vMerge w:val="continue"/>
          </w:tcPr>
          <w:p>
            <w:pPr>
              <w:spacing w:after="0"/>
              <w:rPr>
                <w:sz w:val="5"/>
                <w:szCs w:val="5"/>
                <w:color w:val="auto"/>
              </w:rPr>
            </w:pPr>
          </w:p>
        </w:tc>
        <w:tc>
          <w:tcPr>
            <w:tcW w:w="78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440" w:type="dxa"/>
            <w:vAlign w:val="bottom"/>
            <w:gridSpan w:val="4"/>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3"/>
          </w:tcPr>
          <w:p>
            <w:pPr>
              <w:spacing w:after="0"/>
              <w:rPr>
                <w:sz w:val="4"/>
                <w:szCs w:val="4"/>
                <w:color w:val="auto"/>
              </w:rPr>
            </w:pPr>
          </w:p>
        </w:tc>
        <w:tc>
          <w:tcPr>
            <w:tcW w:w="78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440" w:type="dxa"/>
            <w:vAlign w:val="bottom"/>
            <w:gridSpan w:val="4"/>
            <w:vMerge w:val="continue"/>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40" w:type="dxa"/>
            <w:vAlign w:val="bottom"/>
            <w:gridSpan w:val="4"/>
            <w:vMerge w:val="continue"/>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bottom w:val="single" w:sz="8" w:color="EEEEEE"/>
            </w:tcBorders>
            <w:gridSpan w:val="3"/>
            <w:vMerge w:val="restart"/>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Executive VP &amp; General Counsel</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500 ENERGY LANE</w:t>
            </w:r>
          </w:p>
        </w:tc>
        <w:tc>
          <w:tcPr>
            <w:tcW w:w="1340" w:type="dxa"/>
            <w:vAlign w:val="bottom"/>
          </w:tcPr>
          <w:p>
            <w:pPr>
              <w:spacing w:after="0"/>
              <w:rPr>
                <w:sz w:val="10"/>
                <w:szCs w:val="10"/>
                <w:color w:val="auto"/>
              </w:rPr>
            </w:pPr>
          </w:p>
        </w:tc>
        <w:tc>
          <w:tcPr>
            <w:tcW w:w="15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02/24/2026</w:t>
            </w: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1560" w:type="dxa"/>
            <w:vAlign w:val="bottom"/>
            <w:gridSpan w:val="6"/>
            <w:vMerge w:val="continue"/>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40" w:type="dxa"/>
            <w:vAlign w:val="bottom"/>
            <w:tcBorders>
              <w:bottom w:val="single" w:sz="8" w:color="2C2C2C"/>
            </w:tcBorders>
            <w:gridSpan w:val="6"/>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60" w:type="dxa"/>
            <w:vAlign w:val="bottom"/>
            <w:gridSpan w:val="6"/>
          </w:tcPr>
          <w:p>
            <w:pPr>
              <w:ind w:left="160"/>
              <w:spacing w:after="0" w:line="187" w:lineRule="exact"/>
              <w:rPr>
                <w:sz w:val="20"/>
                <w:szCs w:val="20"/>
                <w:color w:val="auto"/>
              </w:rPr>
            </w:pPr>
            <w:r>
              <w:rPr>
                <w:rFonts w:ascii="Times New Roman" w:cs="Times New Roman" w:eastAsia="Times New Roman" w:hAnsi="Times New Roman"/>
                <w:sz w:val="17"/>
                <w:szCs w:val="17"/>
                <w:color w:val="0000FF"/>
              </w:rPr>
              <w:t>02/26/2026</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DOVER</w:t>
            </w:r>
          </w:p>
        </w:tc>
        <w:tc>
          <w:tcPr>
            <w:tcW w:w="820" w:type="dxa"/>
            <w:vAlign w:val="bottom"/>
          </w:tcPr>
          <w:p>
            <w:pPr>
              <w:ind w:left="580"/>
              <w:spacing w:after="0"/>
              <w:rPr>
                <w:sz w:val="20"/>
                <w:szCs w:val="20"/>
                <w:color w:val="auto"/>
              </w:rPr>
            </w:pPr>
            <w:r>
              <w:rPr>
                <w:rFonts w:ascii="Times New Roman" w:cs="Times New Roman" w:eastAsia="Times New Roman" w:hAnsi="Times New Roman"/>
                <w:sz w:val="17"/>
                <w:szCs w:val="17"/>
                <w:color w:val="0000FF"/>
                <w:w w:val="96"/>
              </w:rPr>
              <w:t>DE</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19901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040" w:type="dxa"/>
            <w:vAlign w:val="bottom"/>
            <w:tcBorders>
              <w:bottom w:val="single" w:sz="8" w:color="2C2C2C"/>
            </w:tcBorders>
            <w:gridSpan w:val="6"/>
          </w:tcPr>
          <w:p>
            <w:pPr>
              <w:spacing w:after="0"/>
              <w:rPr>
                <w:sz w:val="10"/>
                <w:szCs w:val="10"/>
                <w:color w:val="auto"/>
              </w:rPr>
            </w:pPr>
          </w:p>
        </w:tc>
        <w:tc>
          <w:tcPr>
            <w:tcW w:w="90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8"/>
          </w:tcPr>
          <w:p>
            <w:pPr>
              <w:ind w:left="5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02/24/2026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3,725</w:t>
            </w:r>
            <w:r>
              <w:rPr>
                <w:rFonts w:ascii="Times New Roman" w:cs="Times New Roman" w:eastAsia="Times New Roman" w:hAnsi="Times New Roman"/>
                <w:sz w:val="22"/>
                <w:szCs w:val="22"/>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135.05</w:t>
            </w:r>
          </w:p>
        </w:tc>
        <w:tc>
          <w:tcPr>
            <w:tcW w:w="1200" w:type="dxa"/>
            <w:vAlign w:val="bottom"/>
            <w:tcBorders>
              <w:bottom w:val="single" w:sz="8" w:color="2C2C2C"/>
            </w:tcBorders>
            <w:gridSpan w:val="2"/>
          </w:tcPr>
          <w:p>
            <w:pPr>
              <w:jc w:val="center"/>
              <w:ind w:right="237"/>
              <w:spacing w:after="0"/>
              <w:rPr>
                <w:sz w:val="20"/>
                <w:szCs w:val="20"/>
                <w:color w:val="auto"/>
              </w:rPr>
            </w:pPr>
            <w:r>
              <w:rPr>
                <w:rFonts w:ascii="Times New Roman" w:cs="Times New Roman" w:eastAsia="Times New Roman" w:hAnsi="Times New Roman"/>
                <w:sz w:val="17"/>
                <w:szCs w:val="17"/>
                <w:color w:val="0000FF"/>
              </w:rPr>
              <w:t>37,423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right"/>
              <w:ind w:right="437"/>
              <w:spacing w:after="0"/>
              <w:rPr>
                <w:sz w:val="20"/>
                <w:szCs w:val="20"/>
                <w:color w:val="auto"/>
              </w:rPr>
            </w:pPr>
            <w:r>
              <w:rPr>
                <w:rFonts w:ascii="Times New Roman" w:cs="Times New Roman" w:eastAsia="Times New Roman" w:hAnsi="Times New Roman"/>
                <w:sz w:val="17"/>
                <w:szCs w:val="17"/>
                <w:color w:val="0000FF"/>
              </w:rPr>
              <w:t>554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040" w:type="dxa"/>
            <w:vAlign w:val="bottom"/>
            <w:tcBorders>
              <w:bottom w:val="single" w:sz="8" w:color="2C2C2C"/>
            </w:tcBorders>
            <w:gridSpan w:val="6"/>
          </w:tcPr>
          <w:p>
            <w:pPr>
              <w:spacing w:after="0"/>
              <w:rPr>
                <w:sz w:val="8"/>
                <w:szCs w:val="8"/>
                <w:color w:val="auto"/>
              </w:rPr>
            </w:pPr>
          </w:p>
        </w:tc>
        <w:tc>
          <w:tcPr>
            <w:tcW w:w="900" w:type="dxa"/>
            <w:vAlign w:val="bottom"/>
            <w:tcBorders>
              <w:bottom w:val="single" w:sz="8" w:color="2C2C2C"/>
            </w:tcBorders>
            <w:gridSpan w:val="3"/>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reported on February 26, 2026, 7,557 shares of common stock were earned pursuant to a performance share agreement in place with the reporting individual. Accordingly, 3,832 shares were issued to the reporting individual, 0 deferred stock units were granted and 3,725 shares of Chesapeake Utilities common stock were utilized to satisfy the tax liability associated with the incentive award (3,832 shares issued to the reporting individual + 0 deferred stock units + 3,725 shares to cover the tax liability = 7,557 total shares comprising the incentive award).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12,457 deferred stock units that will be settled on a one-for-one basis in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Beth W. Cooper, by Power of</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05/15/2026</w:t>
            </w:r>
          </w:p>
        </w:tc>
        <w:tc>
          <w:tcPr>
            <w:tcW w:w="0" w:type="dxa"/>
            <w:vAlign w:val="bottom"/>
          </w:tcPr>
          <w:p>
            <w:pPr>
              <w:spacing w:after="0"/>
              <w:rPr>
                <w:sz w:val="1"/>
                <w:szCs w:val="1"/>
                <w:color w:val="auto"/>
              </w:rPr>
            </w:pPr>
          </w:p>
        </w:tc>
      </w:tr>
      <w:tr>
        <w:trPr>
          <w:trHeight w:val="87"/>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3320" TargetMode="External"/><Relationship Id="rId14" Type="http://schemas.openxmlformats.org/officeDocument/2006/relationships/hyperlink" Target="http://www.sec.gov/cgi-bin/browse-edgar?action=getcompany&amp;CIK=0000019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2026-05-15T09:39:17Z</dcterms:created>
  <dcterms:modified xsi:type="dcterms:W3CDTF">2026-05-15T09:39:17Z</dcterms:modified>
</cp:coreProperties>
</file>